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0" w:after="0"/>
        <w:rPr>
          <w:rFonts w:ascii="Times New Roman" w:hAnsi="Times New Roman" w:cs="Times New Roman"/>
        </w:rPr>
      </w:pPr>
      <w:r>
        <w:rPr>
          <w:rFonts w:cs="Times New Roman" w:ascii="Times New Roman" w:hAnsi="Times New Roman"/>
        </w:rPr>
      </w:r>
      <w:bookmarkStart w:id="0" w:name="_GoBack"/>
      <w:bookmarkStart w:id="1" w:name="_GoBack"/>
      <w:bookmarkEnd w:id="1"/>
    </w:p>
    <w:p>
      <w:pPr>
        <w:pStyle w:val="Normal"/>
        <w:jc w:val="both"/>
        <w:rPr>
          <w:rFonts w:ascii="Times New Roman" w:hAnsi="Times New Roman" w:cs="Times New Roman"/>
          <w:sz w:val="24"/>
          <w:szCs w:val="24"/>
          <w:lang w:eastAsia="bg-BG"/>
        </w:rPr>
      </w:pPr>
      <w:r>
        <w:rPr>
          <w:rFonts w:cs="Times New Roman" w:ascii="Times New Roman" w:hAnsi="Times New Roman"/>
          <w:sz w:val="28"/>
          <w:szCs w:val="28"/>
        </w:rPr>
        <w:t xml:space="preserve">    </w:t>
      </w:r>
      <w:r>
        <w:rPr>
          <w:rFonts w:cs="Times New Roman" w:ascii="Times New Roman" w:hAnsi="Times New Roman"/>
          <w:sz w:val="24"/>
          <w:szCs w:val="24"/>
          <w:lang w:eastAsia="bg-BG"/>
        </w:rPr>
        <w:t xml:space="preserve">Електронен  парамагнитен резонанс                       </w:t>
      </w:r>
    </w:p>
    <w:p>
      <w:pPr>
        <w:pStyle w:val="Normal"/>
        <w:jc w:val="both"/>
        <w:rPr>
          <w:rFonts w:ascii="Times New Roman" w:hAnsi="Times New Roman" w:cs="Times New Roman"/>
          <w:sz w:val="28"/>
          <w:szCs w:val="28"/>
        </w:rPr>
      </w:pPr>
      <w:r>
        <w:rPr>
          <w:rFonts w:cs="Times New Roman" w:ascii="Times New Roman" w:hAnsi="Times New Roman"/>
          <w:sz w:val="28"/>
          <w:szCs w:val="28"/>
        </w:rPr>
        <w:t>Същност</w:t>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Електронният парамагнитен резонанс е метод, основаващ се на поглъщане на лъчение с микровълнова честота от парамагнитни частици </w:t>
      </w:r>
      <w:r>
        <w:rPr>
          <w:rFonts w:cs="Times New Roman" w:ascii="Times New Roman" w:hAnsi="Times New Roman"/>
          <w:sz w:val="24"/>
          <w:szCs w:val="24"/>
          <w:lang w:val="en-US"/>
        </w:rPr>
        <w:t>(</w:t>
      </w:r>
      <w:r>
        <w:rPr>
          <w:rFonts w:cs="Times New Roman" w:ascii="Times New Roman" w:hAnsi="Times New Roman"/>
          <w:sz w:val="24"/>
          <w:szCs w:val="24"/>
        </w:rPr>
        <w:t>молекули,йони или атоми</w:t>
      </w:r>
      <w:r>
        <w:rPr>
          <w:rFonts w:cs="Times New Roman" w:ascii="Times New Roman" w:hAnsi="Times New Roman"/>
          <w:sz w:val="24"/>
          <w:szCs w:val="24"/>
          <w:lang w:val="en-US"/>
        </w:rPr>
        <w:t>)</w:t>
      </w:r>
      <w:r>
        <w:rPr>
          <w:rFonts w:cs="Times New Roman" w:ascii="Times New Roman" w:hAnsi="Times New Roman"/>
          <w:sz w:val="24"/>
          <w:szCs w:val="24"/>
        </w:rPr>
        <w:t>, при поставянето им във външно магнитно поле.</w:t>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Това явление може да бъде наречено по различен начин-</w:t>
      </w:r>
      <w:r>
        <w:rPr>
          <w:rFonts w:cs="Times New Roman" w:ascii="Times New Roman" w:hAnsi="Times New Roman"/>
          <w:sz w:val="24"/>
          <w:szCs w:val="24"/>
          <w:lang w:val="en-US"/>
        </w:rPr>
        <w:t>‘’</w:t>
      </w:r>
      <w:r>
        <w:rPr>
          <w:rFonts w:cs="Times New Roman" w:ascii="Times New Roman" w:hAnsi="Times New Roman"/>
          <w:sz w:val="24"/>
          <w:szCs w:val="24"/>
        </w:rPr>
        <w:t xml:space="preserve"> електронен парамагнитен резонанс</w:t>
      </w:r>
      <w:r>
        <w:rPr>
          <w:rFonts w:cs="Times New Roman" w:ascii="Times New Roman" w:hAnsi="Times New Roman"/>
          <w:sz w:val="24"/>
          <w:szCs w:val="24"/>
          <w:lang w:val="en-US"/>
        </w:rPr>
        <w:t>’’</w:t>
      </w:r>
      <w:r>
        <w:rPr>
          <w:rFonts w:cs="Times New Roman" w:ascii="Times New Roman" w:hAnsi="Times New Roman"/>
          <w:sz w:val="24"/>
          <w:szCs w:val="24"/>
        </w:rPr>
        <w:t>,</w:t>
      </w:r>
      <w:r>
        <w:rPr>
          <w:rFonts w:cs="Times New Roman" w:ascii="Times New Roman" w:hAnsi="Times New Roman"/>
          <w:sz w:val="24"/>
          <w:szCs w:val="24"/>
          <w:lang w:val="en-US"/>
        </w:rPr>
        <w:t>’’</w:t>
      </w:r>
      <w:r>
        <w:rPr>
          <w:rFonts w:cs="Times New Roman" w:ascii="Times New Roman" w:hAnsi="Times New Roman"/>
          <w:sz w:val="24"/>
          <w:szCs w:val="24"/>
        </w:rPr>
        <w:t xml:space="preserve"> електронен спин-резонанс</w:t>
      </w:r>
      <w:r>
        <w:rPr>
          <w:rFonts w:cs="Times New Roman" w:ascii="Times New Roman" w:hAnsi="Times New Roman"/>
          <w:sz w:val="24"/>
          <w:szCs w:val="24"/>
          <w:lang w:val="en-US"/>
        </w:rPr>
        <w:t>’’</w:t>
      </w:r>
      <w:r>
        <w:rPr>
          <w:rFonts w:cs="Times New Roman" w:ascii="Times New Roman" w:hAnsi="Times New Roman"/>
          <w:sz w:val="24"/>
          <w:szCs w:val="24"/>
        </w:rPr>
        <w:t>.Всички тези термини са еквивалентни и подчертават различни аспекти на едно и също явление.Чрез него могат да се изследват свободни радикали, комплекси на преходните метали, молекули в триплетно състояние, точкови дефекти на твърдото тяло.Във всички случаи основното изискване, за да може да се наблюдава електронен парамагнитен резонанс е изследваната частицада притежава поне един електрон с несдвоен спин.</w:t>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В ЕПР различните енергетични състояния са обусловени от взаимодействието на спиновия магнитен момент на несдвоения електрон с външно магнитно поле-т.н.елекронен ефект на Зееман.Той свежда до сведното:спинът на електрона може да има само две риентации спрямо произволно избрано направление, които съответстват на две стойности на магнитно спиново число</w:t>
      </w:r>
      <w:r>
        <w:rPr>
          <w:rFonts w:cs="Times New Roman" w:ascii="Times New Roman" w:hAnsi="Times New Roman"/>
          <w:sz w:val="24"/>
          <w:szCs w:val="24"/>
          <w:lang w:val="en-US"/>
        </w:rPr>
        <w:t xml:space="preserve"> m</w:t>
      </w:r>
      <w:r>
        <w:rPr>
          <w:rFonts w:cs="Times New Roman" w:ascii="Times New Roman" w:hAnsi="Times New Roman"/>
          <w:sz w:val="24"/>
          <w:szCs w:val="24"/>
          <w:vertAlign w:val="subscript"/>
          <w:lang w:val="en-US"/>
        </w:rPr>
        <w:t xml:space="preserve">s </w:t>
      </w:r>
      <w:r>
        <w:rPr>
          <w:rFonts w:cs="Times New Roman" w:ascii="Times New Roman" w:hAnsi="Times New Roman"/>
          <w:sz w:val="24"/>
          <w:szCs w:val="24"/>
          <w:lang w:val="en-US"/>
        </w:rPr>
        <w:t>= ±1/2.</w:t>
      </w:r>
      <w:r>
        <w:rPr>
          <w:rFonts w:cs="Times New Roman" w:ascii="Times New Roman" w:hAnsi="Times New Roman"/>
          <w:sz w:val="24"/>
          <w:szCs w:val="24"/>
        </w:rPr>
        <w:t>Те се означават като α-спин</w:t>
      </w:r>
      <w:r>
        <w:rPr>
          <w:rFonts w:cs="Times New Roman" w:ascii="Times New Roman" w:hAnsi="Times New Roman"/>
          <w:sz w:val="24"/>
          <w:szCs w:val="24"/>
          <w:lang w:val="en-US"/>
        </w:rPr>
        <w:t>(m</w:t>
      </w:r>
      <w:r>
        <w:rPr>
          <w:rFonts w:cs="Times New Roman" w:ascii="Times New Roman" w:hAnsi="Times New Roman"/>
          <w:sz w:val="24"/>
          <w:szCs w:val="24"/>
          <w:vertAlign w:val="subscript"/>
          <w:lang w:val="en-US"/>
        </w:rPr>
        <w:t xml:space="preserve">s =  </w:t>
      </w:r>
      <w:r>
        <w:rPr>
          <w:rFonts w:cs="Times New Roman" w:ascii="Times New Roman" w:hAnsi="Times New Roman"/>
          <w:sz w:val="24"/>
          <w:szCs w:val="24"/>
          <w:lang w:val="en-US"/>
        </w:rPr>
        <w:t>+1/2-</w:t>
      </w:r>
      <w:r>
        <w:rPr>
          <w:rFonts w:cs="Times New Roman" w:ascii="Times New Roman" w:hAnsi="Times New Roman"/>
          <w:sz w:val="24"/>
          <w:szCs w:val="24"/>
        </w:rPr>
        <w:t>паралелна ориентация</w:t>
      </w:r>
      <w:r>
        <w:rPr>
          <w:rFonts w:cs="Times New Roman" w:ascii="Times New Roman" w:hAnsi="Times New Roman"/>
          <w:sz w:val="24"/>
          <w:szCs w:val="24"/>
          <w:lang w:val="en-US"/>
        </w:rPr>
        <w:t>)</w:t>
      </w:r>
      <w:r>
        <w:rPr>
          <w:rFonts w:cs="Times New Roman" w:ascii="Times New Roman" w:hAnsi="Times New Roman"/>
          <w:sz w:val="24"/>
          <w:szCs w:val="24"/>
        </w:rPr>
        <w:t xml:space="preserve"> и β-спин </w:t>
      </w:r>
      <w:r>
        <w:rPr>
          <w:rFonts w:cs="Times New Roman" w:ascii="Times New Roman" w:hAnsi="Times New Roman"/>
          <w:sz w:val="24"/>
          <w:szCs w:val="24"/>
          <w:lang w:val="en-US"/>
        </w:rPr>
        <w:t>(m</w:t>
      </w:r>
      <w:r>
        <w:rPr>
          <w:rFonts w:cs="Times New Roman" w:ascii="Times New Roman" w:hAnsi="Times New Roman"/>
          <w:sz w:val="24"/>
          <w:szCs w:val="24"/>
          <w:vertAlign w:val="subscript"/>
          <w:lang w:val="en-US"/>
        </w:rPr>
        <w:t xml:space="preserve">s </w:t>
      </w:r>
      <w:r>
        <w:rPr>
          <w:rFonts w:cs="Times New Roman" w:ascii="Times New Roman" w:hAnsi="Times New Roman"/>
          <w:sz w:val="24"/>
          <w:szCs w:val="24"/>
          <w:lang w:val="en-US"/>
        </w:rPr>
        <w:t>= -1/2-</w:t>
      </w:r>
      <w:r>
        <w:rPr>
          <w:rFonts w:cs="Times New Roman" w:ascii="Times New Roman" w:hAnsi="Times New Roman"/>
          <w:sz w:val="24"/>
          <w:szCs w:val="24"/>
        </w:rPr>
        <w:t>антипаралелна ориентация</w:t>
      </w:r>
      <w:r>
        <w:rPr>
          <w:rFonts w:cs="Times New Roman" w:ascii="Times New Roman" w:hAnsi="Times New Roman"/>
          <w:sz w:val="24"/>
          <w:szCs w:val="24"/>
          <w:lang w:val="en-US"/>
        </w:rPr>
        <w:t>)</w:t>
      </w:r>
      <w:r>
        <w:rPr>
          <w:rFonts w:cs="Times New Roman" w:ascii="Times New Roman" w:hAnsi="Times New Roman"/>
          <w:sz w:val="24"/>
          <w:szCs w:val="24"/>
        </w:rPr>
        <w:t>.Това означава, че спиновия магнитен момент µ</w:t>
      </w:r>
      <w:r>
        <w:rPr>
          <w:rFonts w:cs="Times New Roman" w:ascii="Times New Roman" w:hAnsi="Times New Roman"/>
          <w:sz w:val="24"/>
          <w:szCs w:val="24"/>
          <w:vertAlign w:val="subscript"/>
          <w:lang w:val="en-US"/>
        </w:rPr>
        <w:t>s</w:t>
      </w:r>
      <w:r>
        <w:rPr>
          <w:rFonts w:cs="Times New Roman" w:ascii="Times New Roman" w:hAnsi="Times New Roman"/>
          <w:sz w:val="24"/>
          <w:szCs w:val="24"/>
          <w:lang w:val="en-US"/>
        </w:rPr>
        <w:t xml:space="preserve"> </w:t>
      </w:r>
      <w:r>
        <w:rPr>
          <w:rFonts w:cs="Times New Roman" w:ascii="Times New Roman" w:hAnsi="Times New Roman"/>
          <w:sz w:val="24"/>
          <w:szCs w:val="24"/>
        </w:rPr>
        <w:t>може да има две ориентацииспрямо приложено външно магнитно поле Н.</w:t>
      </w:r>
    </w:p>
    <w:p>
      <w:pPr>
        <w:pStyle w:val="Normal"/>
        <w:spacing w:before="0" w:after="0"/>
        <w:jc w:val="both"/>
        <w:rPr>
          <w:rFonts w:ascii="Times New Roman" w:hAnsi="Times New Roman" w:cs="Times New Roman"/>
          <w:sz w:val="24"/>
          <w:szCs w:val="24"/>
        </w:rPr>
      </w:pPr>
      <w:r>
        <w:rPr/>
        <mc:AlternateContent>
          <mc:Choice Requires="wpg">
            <w:drawing>
              <wp:inline distT="0" distB="0" distL="114300" distR="114300">
                <wp:extent cx="5761355" cy="3414395"/>
                <wp:effectExtent l="0" t="0" r="0" b="0"/>
                <wp:docPr id="1" name="Платно 10"/>
                <a:graphic xmlns:a="http://schemas.openxmlformats.org/drawingml/2006/main">
                  <a:graphicData uri="http://schemas.microsoft.com/office/word/2010/wordprocessingGroup">
                    <wpg:wgp>
                      <wpg:cNvGrpSpPr/>
                      <wpg:grpSpPr>
                        <a:xfrm>
                          <a:off x="0" y="0"/>
                          <a:ext cx="5760720" cy="3413880"/>
                        </a:xfrm>
                      </wpg:grpSpPr>
                      <wps:wsp>
                        <wps:cNvSpPr/>
                        <wps:spPr>
                          <a:xfrm>
                            <a:off x="0" y="0"/>
                            <a:ext cx="5760720" cy="3413880"/>
                          </a:xfrm>
                          <a:prstGeom prst="rect">
                            <a:avLst/>
                          </a:prstGeom>
                          <a:noFill/>
                          <a:ln w="0">
                            <a:solidFill>
                              <a:srgbClr val="ffffff"/>
                            </a:solidFill>
                          </a:ln>
                        </wps:spPr>
                        <wps:style>
                          <a:lnRef idx="0"/>
                          <a:fillRef idx="0"/>
                          <a:effectRef idx="0"/>
                          <a:fontRef idx="minor"/>
                        </wps:style>
                        <wps:bodyPr/>
                      </wps:wsp>
                      <wps:wsp>
                        <wps:cNvSpPr txBox="1"/>
                        <wps:spPr>
                          <a:xfrm>
                            <a:off x="3429000" y="1257480"/>
                            <a:ext cx="1257480" cy="343080"/>
                          </a:xfrm>
                          <a:prstGeom prst="rect">
                            <a:avLst/>
                          </a:prstGeom>
                          <a:solidFill>
                            <a:srgbClr val="ffffff"/>
                          </a:solidFill>
                          <a:ln w="0">
                            <a:solidFill>
                              <a:srgbClr val="000000"/>
                            </a:solidFill>
                          </a:ln>
                        </wps:spPr>
                        <wps:txbx>
                          <w:txbxContent>
                            <w:p>
                              <w:pPr>
                                <w:overflowPunct w:val="false"/>
                                <w:spacing w:before="0" w:after="0" w:lineRule="auto" w:line="240"/>
                                <w:jc w:val="left"/>
                                <w:rPr/>
                              </w:pPr>
                              <w:r>
                                <w:rPr>
                                  <w:sz w:val="22"/>
                                  <w:rFonts w:ascii="Calibri" w:hAnsi="Calibri" w:asciiTheme="minorHAnsi" w:cstheme="minorBidi" w:hAnsiTheme="minorHAnsi"/>
                                </w:rPr>
                                <w:t>ΔE = gBHb = hν</w:t>
                              </w:r>
                            </w:p>
                          </w:txbxContent>
                        </wps:txbx>
                        <wps:bodyPr wrap="square">
                          <a:noAutofit/>
                        </wps:bodyPr>
                      </wps:wsp>
                      <wpg:grpSp>
                        <wpg:cNvGrpSpPr/>
                        <wpg:grpSpPr>
                          <a:xfrm>
                            <a:off x="1371600" y="457200"/>
                            <a:ext cx="3314880" cy="2629080"/>
                          </a:xfrm>
                        </wpg:grpSpPr>
                        <wps:wsp>
                          <wps:cNvSpPr/>
                          <wps:spPr>
                            <a:xfrm>
                              <a:off x="0" y="0"/>
                              <a:ext cx="0" cy="2514600"/>
                            </a:xfrm>
                            <a:prstGeom prst="line">
                              <a:avLst/>
                            </a:prstGeom>
                            <a:ln w="57240">
                              <a:solidFill>
                                <a:srgbClr val="000000"/>
                              </a:solidFill>
                              <a:round/>
                              <a:tailEnd len="med" type="triangle" w="med"/>
                            </a:ln>
                          </wps:spPr>
                          <wps:style>
                            <a:lnRef idx="0"/>
                            <a:fillRef idx="0"/>
                            <a:effectRef idx="0"/>
                            <a:fontRef idx="minor"/>
                          </wps:style>
                          <wps:bodyPr/>
                        </wps:wsp>
                        <wps:wsp>
                          <wps:cNvSpPr/>
                          <wps:spPr>
                            <a:xfrm>
                              <a:off x="0" y="1486080"/>
                              <a:ext cx="3314880" cy="0"/>
                            </a:xfrm>
                            <a:prstGeom prst="line">
                              <a:avLst/>
                            </a:prstGeom>
                            <a:ln w="57240">
                              <a:solidFill>
                                <a:srgbClr val="000000"/>
                              </a:solidFill>
                              <a:round/>
                              <a:tailEnd len="med" type="triangle" w="med"/>
                            </a:ln>
                          </wps:spPr>
                          <wps:style>
                            <a:lnRef idx="0"/>
                            <a:fillRef idx="0"/>
                            <a:effectRef idx="0"/>
                            <a:fontRef idx="minor"/>
                          </wps:style>
                          <wps:bodyPr/>
                        </wps:wsp>
                        <wps:wsp>
                          <wps:cNvSpPr/>
                          <wps:spPr>
                            <a:xfrm>
                              <a:off x="0" y="114480"/>
                              <a:ext cx="2513880" cy="1371600"/>
                            </a:xfrm>
                            <a:prstGeom prst="line">
                              <a:avLst/>
                            </a:prstGeom>
                            <a:ln w="38160">
                              <a:solidFill>
                                <a:srgbClr val="000000"/>
                              </a:solidFill>
                              <a:round/>
                              <a:tailEnd len="med" type="triangle" w="med"/>
                            </a:ln>
                          </wps:spPr>
                          <wps:style>
                            <a:lnRef idx="0"/>
                            <a:fillRef idx="0"/>
                            <a:effectRef idx="0"/>
                            <a:fontRef idx="minor"/>
                          </wps:style>
                          <wps:bodyPr/>
                        </wps:wsp>
                        <wps:wsp>
                          <wps:cNvSpPr/>
                          <wps:spPr>
                            <a:xfrm>
                              <a:off x="0" y="1486080"/>
                              <a:ext cx="2400480" cy="1143000"/>
                            </a:xfrm>
                            <a:prstGeom prst="line">
                              <a:avLst/>
                            </a:prstGeom>
                            <a:ln w="38160">
                              <a:solidFill>
                                <a:srgbClr val="000000"/>
                              </a:solidFill>
                              <a:round/>
                              <a:tailEnd len="med" type="triangle" w="med"/>
                            </a:ln>
                          </wps:spPr>
                          <wps:style>
                            <a:lnRef idx="0"/>
                            <a:fillRef idx="0"/>
                            <a:effectRef idx="0"/>
                            <a:fontRef idx="minor"/>
                          </wps:style>
                          <wps:bodyPr/>
                        </wps:wsp>
                        <wps:wsp>
                          <wps:cNvSpPr/>
                          <wps:spPr>
                            <a:xfrm>
                              <a:off x="1943280" y="457200"/>
                              <a:ext cx="720" cy="1943280"/>
                            </a:xfrm>
                            <a:prstGeom prst="line">
                              <a:avLst/>
                            </a:prstGeom>
                            <a:ln w="28440">
                              <a:solidFill>
                                <a:srgbClr val="000000"/>
                              </a:solidFill>
                              <a:round/>
                              <a:headEnd len="med" type="triangle" w="med"/>
                              <a:tailEnd len="med" type="triangle" w="med"/>
                            </a:ln>
                          </wps:spPr>
                          <wps:style>
                            <a:lnRef idx="0"/>
                            <a:fillRef idx="0"/>
                            <a:effectRef idx="0"/>
                            <a:fontRef idx="minor"/>
                          </wps:style>
                          <wps:bodyPr/>
                        </wps:wsp>
                      </wpg:grpSp>
                      <wps:wsp>
                        <wps:cNvSpPr txBox="1"/>
                        <wps:spPr>
                          <a:xfrm>
                            <a:off x="4000680" y="343080"/>
                            <a:ext cx="800280" cy="343080"/>
                          </a:xfrm>
                          <a:prstGeom prst="rect">
                            <a:avLst/>
                          </a:prstGeom>
                          <a:solidFill>
                            <a:srgbClr val="ffffff"/>
                          </a:solidFill>
                          <a:ln w="0">
                            <a:solidFill>
                              <a:srgbClr val="000000"/>
                            </a:solidFill>
                          </a:ln>
                        </wps:spPr>
                        <wps:txbx>
                          <w:txbxContent>
                            <w:p>
                              <w:pPr>
                                <w:overflowPunct w:val="false"/>
                                <w:spacing w:before="0" w:after="0" w:lineRule="auto" w:line="240"/>
                                <w:jc w:val="left"/>
                                <w:rPr/>
                              </w:pPr>
                              <w:r>
                                <w:rPr>
                                  <w:sz w:val="22"/>
                                  <w:rFonts w:ascii="Calibri" w:hAnsi="Calibri" w:asciiTheme="minorHAnsi" w:cstheme="minorBidi" w:hAnsiTheme="minorHAnsi"/>
                                </w:rPr>
                                <w:t xml:space="preserve">ms = + ½ </w:t>
                              </w:r>
                            </w:p>
                          </w:txbxContent>
                        </wps:txbx>
                        <wps:bodyPr wrap="square">
                          <a:noAutofit/>
                        </wps:bodyPr>
                      </wps:wsp>
                      <wps:wsp>
                        <wps:cNvSpPr txBox="1"/>
                        <wps:spPr>
                          <a:xfrm>
                            <a:off x="3886200" y="2857680"/>
                            <a:ext cx="800280" cy="343080"/>
                          </a:xfrm>
                          <a:prstGeom prst="rect">
                            <a:avLst/>
                          </a:prstGeom>
                          <a:solidFill>
                            <a:srgbClr val="ffffff"/>
                          </a:solidFill>
                          <a:ln w="0">
                            <a:solidFill>
                              <a:srgbClr val="000000"/>
                            </a:solidFill>
                          </a:ln>
                        </wps:spPr>
                        <wps:txbx>
                          <w:txbxContent>
                            <w:p>
                              <w:pPr>
                                <w:overflowPunct w:val="false"/>
                                <w:spacing w:before="0" w:after="0" w:lineRule="auto" w:line="240"/>
                                <w:jc w:val="left"/>
                                <w:rPr/>
                              </w:pPr>
                              <w:r>
                                <w:rPr>
                                  <w:sz w:val="22"/>
                                  <w:rFonts w:ascii="Calibri" w:hAnsi="Calibri" w:asciiTheme="minorHAnsi" w:cstheme="minorBidi" w:hAnsiTheme="minorHAnsi"/>
                                </w:rPr>
                                <w:t xml:space="preserve">ms = - ½ </w:t>
                              </w:r>
                            </w:p>
                          </w:txbxContent>
                        </wps:txbx>
                        <wps:bodyPr wrap="square">
                          <a:noAutofit/>
                        </wps:bodyPr>
                      </wps:wsp>
                    </wpg:wgp>
                  </a:graphicData>
                </a:graphic>
              </wp:inline>
            </w:drawing>
          </mc:Choice>
          <mc:Fallback>
            <w:pict>
              <v:group id="shape_0" alt="Платно 10" editas="canvas" style="margin-left:0pt;margin-top:-268.85pt;width:453.6pt;height:268.8pt" coordorigin="0,-5377" coordsize="9072,5376">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stroked="t" style="position:absolute;left:0;top:-5377;width:9071;height:5375;mso-wrap-style:none;v-text-anchor:middle;mso-position-vertical:top" type="shapetype_75">
                  <v:fill o:detectmouseclick="t" on="false"/>
                  <v:stroke color="white" joinstyle="miter" endcap="flat"/>
                  <w10:wrap type="none"/>
                </v:shape>
                <v:shapetype id="_x0000_t202" coordsize="21600,21600" o:spt="202" path="m,l,21600l21600,21600l21600,xe">
                  <v:stroke joinstyle="miter"/>
                  <v:path gradientshapeok="t" o:connecttype="rect"/>
                </v:shapetype>
                <v:shape id="shape_0" ID="Text Box 4" fillcolor="white" stroked="t" style="position:absolute;left:5400;top:-3396;width:1979;height:539;mso-wrap-style:square;v-text-anchor:top;mso-position-vertical:top" type="shapetype_202">
                  <v:textbox>
                    <w:txbxContent>
                      <w:p>
                        <w:pPr>
                          <w:overflowPunct w:val="false"/>
                          <w:spacing w:before="0" w:after="0" w:lineRule="auto" w:line="240"/>
                          <w:jc w:val="left"/>
                          <w:rPr/>
                        </w:pPr>
                        <w:r>
                          <w:rPr>
                            <w:sz w:val="22"/>
                            <w:rFonts w:ascii="Calibri" w:hAnsi="Calibri" w:asciiTheme="minorHAnsi" w:cstheme="minorBidi" w:hAnsiTheme="minorHAnsi"/>
                          </w:rPr>
                          <w:t>ΔE = gBHb = hν</w:t>
                        </w:r>
                      </w:p>
                    </w:txbxContent>
                  </v:textbox>
                  <v:fill o:detectmouseclick="t" type="solid" color2="black"/>
                  <v:stroke color="black" joinstyle="miter" endcap="flat"/>
                </v:shape>
                <v:group id="shape_0" alt="Group 5" editas="canvas" style="left:2160;top:-4657;width:5219;height:4139">
                  <v:line id="shape_0" from="2160,-4657" to="2160,-698" ID="Line 6" stroked="t" style="position:absolute;mso-position-vertical:top">
                    <v:stroke color="black" weight="57240" endarrow="block" endarrowwidth="medium" endarrowlength="medium" joinstyle="round" endcap="flat"/>
                    <v:fill o:detectmouseclick="t" on="false"/>
                  </v:line>
                  <v:line id="shape_0" from="2160,-2316" to="7379,-2316" ID="Line 7" stroked="t" style="position:absolute;mso-position-vertical:top">
                    <v:stroke color="black" weight="57240" endarrow="block" endarrowwidth="medium" endarrowlength="medium" joinstyle="round" endcap="flat"/>
                    <v:fill o:detectmouseclick="t" on="false"/>
                  </v:line>
                  <v:line id="shape_0" from="2160,-4476" to="6118,-2317" ID="Line 8" stroked="t" style="position:absolute;mso-position-vertical:top">
                    <v:stroke color="black" weight="38160" endarrow="block" endarrowwidth="medium" endarrowlength="medium" joinstyle="round" endcap="flat"/>
                    <v:fill o:detectmouseclick="t" on="false"/>
                  </v:line>
                  <v:line id="shape_0" from="2160,-2316" to="5939,-517" ID="Line 9" stroked="t" style="position:absolute;mso-position-vertical:top">
                    <v:stroke color="black" weight="38160" endarrow="block" endarrowwidth="medium" endarrowlength="medium" joinstyle="round" endcap="flat"/>
                    <v:fill o:detectmouseclick="t" on="false"/>
                  </v:line>
                  <v:line id="shape_0" from="5220,-3937" to="5220,-878" ID="Line 10" stroked="t" style="position:absolute;mso-position-vertical:top">
                    <v:stroke color="black" weight="28440" startarrow="block" endarrow="block" startarrowwidth="medium" startarrowlength="medium" endarrowwidth="medium" endarrowlength="medium" joinstyle="round" endcap="flat"/>
                    <v:fill o:detectmouseclick="t" on="false"/>
                  </v:line>
                </v:group>
                <v:shape id="shape_0" ID="Text Box 11" fillcolor="white" stroked="t" style="position:absolute;left:6300;top:-4836;width:1259;height:539;mso-wrap-style:square;v-text-anchor:top;mso-position-vertical:top" type="shapetype_202">
                  <v:textbox>
                    <w:txbxContent>
                      <w:p>
                        <w:pPr>
                          <w:overflowPunct w:val="false"/>
                          <w:spacing w:before="0" w:after="0" w:lineRule="auto" w:line="240"/>
                          <w:jc w:val="left"/>
                          <w:rPr/>
                        </w:pPr>
                        <w:r>
                          <w:rPr>
                            <w:sz w:val="22"/>
                            <w:rFonts w:ascii="Calibri" w:hAnsi="Calibri" w:asciiTheme="minorHAnsi" w:cstheme="minorBidi" w:hAnsiTheme="minorHAnsi"/>
                          </w:rPr>
                          <w:t xml:space="preserve">ms = + ½ </w:t>
                        </w:r>
                      </w:p>
                    </w:txbxContent>
                  </v:textbox>
                  <v:fill o:detectmouseclick="t" type="solid" color2="black"/>
                  <v:stroke color="black" joinstyle="miter" endcap="flat"/>
                </v:shape>
                <v:shape id="shape_0" ID="Text Box 12" fillcolor="white" stroked="t" style="position:absolute;left:6120;top:-876;width:1259;height:539;mso-wrap-style:square;v-text-anchor:top;mso-position-vertical:top" type="shapetype_202">
                  <v:textbox>
                    <w:txbxContent>
                      <w:p>
                        <w:pPr>
                          <w:overflowPunct w:val="false"/>
                          <w:spacing w:before="0" w:after="0" w:lineRule="auto" w:line="240"/>
                          <w:jc w:val="left"/>
                          <w:rPr/>
                        </w:pPr>
                        <w:r>
                          <w:rPr>
                            <w:sz w:val="22"/>
                            <w:rFonts w:ascii="Calibri" w:hAnsi="Calibri" w:asciiTheme="minorHAnsi" w:cstheme="minorBidi" w:hAnsiTheme="minorHAnsi"/>
                          </w:rPr>
                          <w:t xml:space="preserve">ms = - ½ </w:t>
                        </w:r>
                      </w:p>
                    </w:txbxContent>
                  </v:textbox>
                  <v:fill o:detectmouseclick="t" type="solid" color2="black"/>
                  <v:stroke color="black" joinstyle="miter" endcap="flat"/>
                </v:shape>
              </v:group>
            </w:pict>
          </mc:Fallback>
        </mc:AlternateContent>
      </w:r>
    </w:p>
    <w:p>
      <w:pPr>
        <w:pStyle w:val="Normal"/>
        <w:rPr>
          <w:lang w:eastAsia="bg-BG"/>
        </w:rPr>
      </w:pPr>
      <w:r>
        <w:rPr>
          <w:lang w:eastAsia="bg-BG"/>
        </w:rPr>
      </w:r>
    </w:p>
    <w:p>
      <w:pPr>
        <w:pStyle w:val="Normal"/>
        <w:rPr>
          <w:lang w:eastAsia="bg-BG"/>
        </w:rPr>
      </w:pPr>
      <w:r>
        <w:rPr>
          <w:lang w:eastAsia="bg-BG"/>
        </w:rPr>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Условие за резонанс може да бъде изпълнено по два начина:</w:t>
      </w:r>
    </w:p>
    <w:p>
      <w:pPr>
        <w:pStyle w:val="Normal"/>
        <w:spacing w:before="0" w:after="0"/>
        <w:jc w:val="both"/>
        <w:rPr>
          <w:rFonts w:ascii="Times New Roman" w:hAnsi="Times New Roman" w:cs="Times New Roman"/>
          <w:sz w:val="24"/>
          <w:szCs w:val="24"/>
          <w:lang w:val="en-US"/>
        </w:rPr>
      </w:pPr>
      <w:r>
        <w:rPr>
          <w:rFonts w:cs="Times New Roman" w:ascii="Times New Roman" w:hAnsi="Times New Roman"/>
          <w:sz w:val="24"/>
          <w:szCs w:val="24"/>
        </w:rPr>
        <w:t>-или чрез постепеннопроменяне на честотата ʋ на лъчението при определена постоянна стойност на интензитета намагнитното поле Н</w:t>
      </w:r>
      <w:r>
        <w:rPr>
          <w:rFonts w:cs="Times New Roman" w:ascii="Times New Roman" w:hAnsi="Times New Roman"/>
          <w:sz w:val="24"/>
          <w:szCs w:val="24"/>
          <w:vertAlign w:val="subscript"/>
        </w:rPr>
        <w:t>0</w:t>
      </w:r>
      <w:r>
        <w:rPr>
          <w:rFonts w:cs="Times New Roman" w:ascii="Times New Roman" w:hAnsi="Times New Roman"/>
          <w:sz w:val="24"/>
          <w:szCs w:val="24"/>
          <w:lang w:val="en-US"/>
        </w:rPr>
        <w:t>;</w:t>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-или чрез промяна на Н при факсирана честота ʋ</w:t>
      </w:r>
      <w:r>
        <w:rPr>
          <w:rFonts w:cs="Times New Roman" w:ascii="Times New Roman" w:hAnsi="Times New Roman"/>
          <w:sz w:val="24"/>
          <w:szCs w:val="24"/>
          <w:vertAlign w:val="subscript"/>
        </w:rPr>
        <w:t>0</w:t>
      </w:r>
      <w:r>
        <w:rPr>
          <w:rFonts w:cs="Times New Roman" w:ascii="Times New Roman" w:hAnsi="Times New Roman"/>
          <w:sz w:val="24"/>
          <w:szCs w:val="24"/>
        </w:rPr>
        <w:t>.Последнато е технически по удоно и се използва във всички стандартни ЕПР спектрометри.Обикновено ЕПР спектрите се регистрират прификсирана честота от около 95000 МН</w:t>
      </w:r>
      <w:r>
        <w:rPr>
          <w:rFonts w:cs="Times New Roman" w:ascii="Times New Roman" w:hAnsi="Times New Roman"/>
          <w:sz w:val="24"/>
          <w:szCs w:val="24"/>
          <w:lang w:val="en-US"/>
        </w:rPr>
        <w:t>z</w:t>
      </w:r>
      <w:r>
        <w:rPr>
          <w:rFonts w:cs="Times New Roman" w:ascii="Times New Roman" w:hAnsi="Times New Roman"/>
          <w:sz w:val="24"/>
          <w:szCs w:val="24"/>
        </w:rPr>
        <w:t xml:space="preserve"> и интензитет на магнитното поле около</w:t>
      </w:r>
      <w:r>
        <w:rPr>
          <w:rFonts w:cs="Times New Roman" w:ascii="Times New Roman" w:hAnsi="Times New Roman"/>
          <w:sz w:val="24"/>
          <w:szCs w:val="24"/>
          <w:lang w:val="en-US"/>
        </w:rPr>
        <w:t xml:space="preserve"> </w:t>
      </w:r>
      <w:r>
        <w:rPr>
          <w:rFonts w:cs="Times New Roman" w:ascii="Times New Roman" w:hAnsi="Times New Roman"/>
          <w:sz w:val="24"/>
          <w:szCs w:val="24"/>
        </w:rPr>
        <w:t>3500</w:t>
      </w:r>
      <w:r>
        <w:rPr>
          <w:rFonts w:cs="Times New Roman" w:ascii="Times New Roman" w:hAnsi="Times New Roman"/>
          <w:sz w:val="24"/>
          <w:szCs w:val="24"/>
          <w:lang w:val="en-US"/>
        </w:rPr>
        <w:t>G</w:t>
      </w:r>
      <w:r>
        <w:rPr>
          <w:rFonts w:cs="Times New Roman" w:ascii="Times New Roman" w:hAnsi="Times New Roman"/>
          <w:sz w:val="24"/>
          <w:szCs w:val="24"/>
        </w:rPr>
        <w:t xml:space="preserve"> или при 35000</w:t>
      </w:r>
      <w:r>
        <w:rPr>
          <w:rFonts w:cs="Times New Roman" w:ascii="Times New Roman" w:hAnsi="Times New Roman"/>
          <w:sz w:val="24"/>
          <w:szCs w:val="24"/>
          <w:lang w:val="en-US"/>
        </w:rPr>
        <w:t xml:space="preserve"> </w:t>
      </w:r>
      <w:r>
        <w:rPr>
          <w:rFonts w:cs="Times New Roman" w:ascii="Times New Roman" w:hAnsi="Times New Roman"/>
          <w:sz w:val="24"/>
          <w:szCs w:val="24"/>
        </w:rPr>
        <w:t>МН</w:t>
      </w:r>
      <w:r>
        <w:rPr>
          <w:rFonts w:cs="Times New Roman" w:ascii="Times New Roman" w:hAnsi="Times New Roman"/>
          <w:sz w:val="24"/>
          <w:szCs w:val="24"/>
          <w:lang w:val="en-US"/>
        </w:rPr>
        <w:t xml:space="preserve">z </w:t>
      </w:r>
      <w:r>
        <w:rPr>
          <w:rFonts w:cs="Times New Roman" w:ascii="Times New Roman" w:hAnsi="Times New Roman"/>
          <w:sz w:val="24"/>
          <w:szCs w:val="24"/>
        </w:rPr>
        <w:t>и интензитет на полето 12500</w:t>
      </w:r>
      <w:r>
        <w:rPr>
          <w:rFonts w:cs="Times New Roman" w:ascii="Times New Roman" w:hAnsi="Times New Roman"/>
          <w:sz w:val="24"/>
          <w:szCs w:val="24"/>
          <w:lang w:val="en-US"/>
        </w:rPr>
        <w:t>G</w:t>
      </w:r>
      <w:r>
        <w:rPr>
          <w:rFonts w:cs="Times New Roman" w:ascii="Times New Roman" w:hAnsi="Times New Roman"/>
          <w:sz w:val="24"/>
          <w:szCs w:val="24"/>
        </w:rPr>
        <w:t>.</w:t>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Спектрометрите за ЕПР съдържат следните основни елементи: електромагнит за създаване на магнитно поле, генератор за микровълнова честота, генератор с пробата, детектор и електронна схема за наблюдение и записване на ЕПР спектара.С този метод се изучава газове, разтвори, праховдни проби, монокристали и замразени разтвори.Разтворителите с висока диелектрична константа като вода и алкохол не са подходящи за работа в ЕПР, защото силно поглъщат енергията на лъчението.Те могат да се използват само ако пробата дава силен сигнал и е поставена в специална кювета.За тази цел се използват кварцови капилярни тръбици с вътрешен диаметър 0,6-0,8 </w:t>
      </w:r>
      <w:r>
        <w:rPr>
          <w:rFonts w:cs="Times New Roman" w:ascii="Times New Roman" w:hAnsi="Times New Roman"/>
          <w:sz w:val="24"/>
          <w:szCs w:val="24"/>
          <w:lang w:val="en-US"/>
        </w:rPr>
        <w:t>mm</w:t>
      </w:r>
      <w:r>
        <w:rPr>
          <w:rFonts w:cs="Times New Roman" w:ascii="Times New Roman" w:hAnsi="Times New Roman"/>
          <w:sz w:val="24"/>
          <w:szCs w:val="24"/>
        </w:rPr>
        <w:t xml:space="preserve"> или плоски кварцови кювети със същата дебелина на слоя.За проби с ниска диелектрична константа се използват стандартни кювети – цилндрични тръбици с диаметър 4-5</w:t>
      </w:r>
      <w:r>
        <w:rPr>
          <w:rFonts w:cs="Times New Roman" w:ascii="Times New Roman" w:hAnsi="Times New Roman"/>
          <w:sz w:val="24"/>
          <w:szCs w:val="24"/>
          <w:lang w:val="en-US"/>
        </w:rPr>
        <w:t>mm</w:t>
      </w:r>
      <w:r>
        <w:rPr>
          <w:rFonts w:cs="Times New Roman" w:ascii="Times New Roman" w:hAnsi="Times New Roman"/>
          <w:sz w:val="24"/>
          <w:szCs w:val="24"/>
        </w:rPr>
        <w:t>.За изследване на замразени разтвори се използват разтворители, които в замразено състояние образуват стъкло.</w:t>
      </w:r>
    </w:p>
    <w:p>
      <w:pPr>
        <w:pStyle w:val="Normal"/>
        <w:spacing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spacing w:before="0" w:after="0"/>
        <w:jc w:val="both"/>
        <w:rPr>
          <w:rFonts w:ascii="Times New Roman" w:hAnsi="Times New Roman" w:cs="Times New Roman"/>
          <w:sz w:val="28"/>
          <w:szCs w:val="28"/>
        </w:rPr>
      </w:pPr>
      <w:r>
        <w:rPr>
          <w:rFonts w:cs="Times New Roman" w:ascii="Times New Roman" w:hAnsi="Times New Roman"/>
          <w:b/>
          <w:sz w:val="28"/>
          <w:szCs w:val="28"/>
        </w:rPr>
        <w:t xml:space="preserve">  </w:t>
      </w:r>
      <w:r>
        <w:rPr>
          <w:rFonts w:cs="Times New Roman" w:ascii="Times New Roman" w:hAnsi="Times New Roman"/>
          <w:sz w:val="28"/>
          <w:szCs w:val="28"/>
        </w:rPr>
        <w:t>Блок-схема</w:t>
      </w:r>
    </w:p>
    <w:p>
      <w:pPr>
        <w:pStyle w:val="Normal"/>
        <w:spacing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before="0" w:after="0"/>
        <w:jc w:val="both"/>
        <w:rPr>
          <w:rFonts w:ascii="Times New Roman" w:hAnsi="Times New Roman" w:cs="Times New Roman"/>
          <w:sz w:val="28"/>
          <w:szCs w:val="28"/>
        </w:rPr>
      </w:pPr>
      <w:r>
        <w:rPr>
          <w:rFonts w:cs="Times New Roman" w:ascii="Times New Roman" w:hAnsi="Times New Roman"/>
          <w:sz w:val="28"/>
          <w:szCs w:val="28"/>
        </w:rPr>
        <w:t xml:space="preserve">                                                                         </w:t>
      </w:r>
    </w:p>
    <w:p>
      <w:pPr>
        <w:pStyle w:val="Normal"/>
        <w:spacing w:before="0" w:after="0"/>
        <w:jc w:val="both"/>
        <w:rPr>
          <w:rFonts w:ascii="Times New Roman" w:hAnsi="Times New Roman" w:cs="Times New Roman"/>
          <w:sz w:val="24"/>
          <w:szCs w:val="24"/>
        </w:rPr>
      </w:pPr>
      <w:r>
        <w:rPr>
          <w:rFonts w:cs="Times New Roman" w:ascii="Times New Roman" w:hAnsi="Times New Roman"/>
          <w:sz w:val="28"/>
          <w:szCs w:val="28"/>
        </w:rPr>
        <w:t xml:space="preserve">                                                                         </w:t>
      </w:r>
      <w:r>
        <w:rPr>
          <w:rFonts w:cs="Times New Roman" w:ascii="Times New Roman" w:hAnsi="Times New Roman"/>
          <w:sz w:val="24"/>
          <w:szCs w:val="24"/>
        </w:rPr>
        <w:t>1.клистрон</w:t>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2.контрол на мощността </w:t>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на клистрона</w:t>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3.резонатор</w:t>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4.магнит</w:t>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5.дететор</w:t>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6.нискочестотен усилвател</w:t>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7.фазовъртящо устройство</w:t>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8.нискочестотен генератор на</w:t>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модулационен ток</w:t>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Микровълновото лъчение, генераторно от клистрона 1, чиято мощност се контролира от 2, постъпва в резонатора с изследваната проба 3.Резонаторът с пробата се намира между полюсите на електромагнит 4, създаващ силно еднородно и бавно изменящо се магнитно поле.При изпълнение на резонансното условие част от микровълновата енергия се поглъща от пробата.Това изменение се дедектира от мода 5 усилено посредством 6 се подава на регистриращото устройство.За повишаване чувствителността на спектрометъра магнитното поле създавано от електромагнита 4 се модулира с ниска честота от генератора 8.Същата честота, но с променена 7 фаза, се подава и на регистриращото устройство.По този начин ЕПР спектърът се регистрира под формата на първа производна на интензитета на погълнатото лъчение спрямо интензитета на приложеното магнитно поле, с което се достига по-добра разделителна способност.</w:t>
      </w:r>
    </w:p>
    <w:p>
      <w:pPr>
        <w:pStyle w:val="Normal"/>
        <w:spacing w:before="0" w:after="0"/>
        <w:jc w:val="both"/>
        <w:rPr>
          <w:rFonts w:ascii="Times New Roman" w:hAnsi="Times New Roman" w:cs="Times New Roman"/>
          <w:sz w:val="24"/>
          <w:szCs w:val="24"/>
        </w:rPr>
      </w:pPr>
      <w:r>
        <w:rPr/>
        <mc:AlternateContent>
          <mc:Choice Requires="wpg">
            <w:drawing>
              <wp:inline distT="0" distB="0" distL="114300" distR="114300">
                <wp:extent cx="6172835" cy="3094355"/>
                <wp:effectExtent l="0" t="0" r="0" b="0"/>
                <wp:docPr id="2" name="Платно 27"/>
                <a:graphic xmlns:a="http://schemas.openxmlformats.org/drawingml/2006/main">
                  <a:graphicData uri="http://schemas.microsoft.com/office/word/2010/wordprocessingGroup">
                    <wpg:wgp>
                      <wpg:cNvGrpSpPr/>
                      <wpg:grpSpPr>
                        <a:xfrm>
                          <a:off x="0" y="0"/>
                          <a:ext cx="6172200" cy="3093840"/>
                        </a:xfrm>
                      </wpg:grpSpPr>
                      <wps:wsp>
                        <wps:cNvSpPr/>
                        <wps:spPr>
                          <a:xfrm>
                            <a:off x="0" y="0"/>
                            <a:ext cx="5760720" cy="3093840"/>
                          </a:xfrm>
                          <a:prstGeom prst="rect">
                            <a:avLst/>
                          </a:prstGeom>
                          <a:solidFill>
                            <a:srgbClr val="ffffff"/>
                          </a:solidFill>
                          <a:ln w="0">
                            <a:solidFill>
                              <a:srgbClr val="000000"/>
                            </a:solidFill>
                          </a:ln>
                        </wps:spPr>
                        <wps:style>
                          <a:lnRef idx="0"/>
                          <a:fillRef idx="0"/>
                          <a:effectRef idx="0"/>
                          <a:fontRef idx="minor"/>
                        </wps:style>
                        <wps:bodyPr/>
                      </wps:wsp>
                      <wps:wsp>
                        <wps:cNvSpPr/>
                        <wps:spPr>
                          <a:xfrm>
                            <a:off x="0" y="114480"/>
                            <a:ext cx="229320" cy="343080"/>
                          </a:xfrm>
                          <a:prstGeom prst="rect">
                            <a:avLst/>
                          </a:prstGeom>
                          <a:solidFill>
                            <a:srgbClr val="ffffff"/>
                          </a:solidFill>
                          <a:ln w="0">
                            <a:solidFill>
                              <a:srgbClr val="000000"/>
                            </a:solidFill>
                          </a:ln>
                        </wps:spPr>
                        <wps:style>
                          <a:lnRef idx="0"/>
                          <a:fillRef idx="0"/>
                          <a:effectRef idx="0"/>
                          <a:fontRef idx="minor"/>
                        </wps:style>
                        <wps:txbx>
                          <w:txbxContent>
                            <w:p>
                              <w:pPr>
                                <w:overflowPunct w:val="false"/>
                                <w:spacing w:before="0" w:after="0" w:lineRule="auto" w:line="240"/>
                                <w:jc w:val="left"/>
                                <w:rPr/>
                              </w:pPr>
                              <w:r>
                                <w:rPr>
                                  <w:b/>
                                  <w:sz w:val="32"/>
                                  <w:rFonts w:ascii="Calibri" w:hAnsi="Calibri" w:asciiTheme="minorHAnsi" w:cstheme="minorBidi" w:hAnsiTheme="minorHAnsi"/>
                                </w:rPr>
                                <w:t>I</w:t>
                              </w:r>
                            </w:p>
                          </w:txbxContent>
                        </wps:txbx>
                        <wps:bodyPr>
                          <a:noAutofit/>
                        </wps:bodyPr>
                      </wps:wsp>
                      <wps:wsp>
                        <wps:cNvSpPr/>
                        <wps:spPr>
                          <a:xfrm>
                            <a:off x="2513880" y="1714680"/>
                            <a:ext cx="343080" cy="343080"/>
                          </a:xfrm>
                          <a:prstGeom prst="rect">
                            <a:avLst/>
                          </a:prstGeom>
                          <a:solidFill>
                            <a:srgbClr val="ffffff"/>
                          </a:solidFill>
                          <a:ln w="0">
                            <a:solidFill>
                              <a:srgbClr val="000000"/>
                            </a:solidFill>
                          </a:ln>
                        </wps:spPr>
                        <wps:style>
                          <a:lnRef idx="0"/>
                          <a:fillRef idx="0"/>
                          <a:effectRef idx="0"/>
                          <a:fontRef idx="minor"/>
                        </wps:style>
                        <wps:txbx>
                          <w:txbxContent>
                            <w:p>
                              <w:pPr>
                                <w:overflowPunct w:val="false"/>
                                <w:spacing w:before="0" w:after="0" w:lineRule="auto" w:line="240"/>
                                <w:jc w:val="left"/>
                                <w:rPr/>
                              </w:pPr>
                              <w:r>
                                <w:rPr>
                                  <w:b/>
                                  <w:sz w:val="32"/>
                                  <w:rFonts w:ascii="Calibri" w:hAnsi="Calibri" w:asciiTheme="minorHAnsi" w:cstheme="minorBidi" w:hAnsiTheme="minorHAnsi"/>
                                </w:rPr>
                                <w:t>H</w:t>
                              </w:r>
                            </w:p>
                          </w:txbxContent>
                        </wps:txbx>
                        <wps:bodyPr>
                          <a:noAutofit/>
                        </wps:bodyPr>
                      </wps:wsp>
                      <wps:wsp>
                        <wps:cNvSpPr/>
                        <wps:spPr>
                          <a:xfrm>
                            <a:off x="2972520" y="114480"/>
                            <a:ext cx="227880" cy="343080"/>
                          </a:xfrm>
                          <a:prstGeom prst="rect">
                            <a:avLst/>
                          </a:prstGeom>
                          <a:solidFill>
                            <a:srgbClr val="ffffff"/>
                          </a:solidFill>
                          <a:ln w="0">
                            <a:solidFill>
                              <a:srgbClr val="000000"/>
                            </a:solidFill>
                          </a:ln>
                        </wps:spPr>
                        <wps:style>
                          <a:lnRef idx="0"/>
                          <a:fillRef idx="0"/>
                          <a:effectRef idx="0"/>
                          <a:fontRef idx="minor"/>
                        </wps:style>
                        <wps:txbx>
                          <w:txbxContent>
                            <w:p>
                              <w:pPr>
                                <w:overflowPunct w:val="false"/>
                                <w:spacing w:before="0" w:after="0" w:lineRule="auto" w:line="240"/>
                                <w:jc w:val="left"/>
                                <w:rPr/>
                              </w:pPr>
                              <w:r>
                                <w:rPr>
                                  <w:b/>
                                  <w:sz w:val="32"/>
                                  <w:rFonts w:ascii="Calibri" w:hAnsi="Calibri" w:asciiTheme="minorHAnsi" w:cstheme="minorBidi" w:hAnsiTheme="minorHAnsi"/>
                                </w:rPr>
                                <w:t>I</w:t>
                              </w:r>
                            </w:p>
                          </w:txbxContent>
                        </wps:txbx>
                        <wps:bodyPr>
                          <a:noAutofit/>
                        </wps:bodyPr>
                      </wps:wsp>
                      <wps:wsp>
                        <wps:cNvSpPr/>
                        <wps:spPr>
                          <a:xfrm>
                            <a:off x="5829480" y="1828800"/>
                            <a:ext cx="343080" cy="343080"/>
                          </a:xfrm>
                          <a:prstGeom prst="rect">
                            <a:avLst/>
                          </a:prstGeom>
                          <a:solidFill>
                            <a:srgbClr val="ffffff"/>
                          </a:solidFill>
                          <a:ln w="0">
                            <a:solidFill>
                              <a:srgbClr val="000000"/>
                            </a:solidFill>
                          </a:ln>
                        </wps:spPr>
                        <wps:style>
                          <a:lnRef idx="0"/>
                          <a:fillRef idx="0"/>
                          <a:effectRef idx="0"/>
                          <a:fontRef idx="minor"/>
                        </wps:style>
                        <wps:txbx>
                          <w:txbxContent>
                            <w:p>
                              <w:pPr>
                                <w:overflowPunct w:val="false"/>
                                <w:spacing w:before="0" w:after="0" w:lineRule="auto" w:line="240"/>
                                <w:jc w:val="left"/>
                                <w:rPr/>
                              </w:pPr>
                              <w:r>
                                <w:rPr>
                                  <w:b/>
                                  <w:sz w:val="32"/>
                                  <w:rFonts w:ascii="Calibri" w:hAnsi="Calibri" w:asciiTheme="minorHAnsi" w:cstheme="minorBidi" w:hAnsiTheme="minorHAnsi"/>
                                </w:rPr>
                                <w:t>H</w:t>
                              </w:r>
                            </w:p>
                          </w:txbxContent>
                        </wps:txbx>
                        <wps:bodyPr>
                          <a:noAutofit/>
                        </wps:bodyPr>
                      </wps:wsp>
                      <wps:wsp>
                        <wps:cNvSpPr/>
                        <wps:spPr>
                          <a:xfrm>
                            <a:off x="4800600" y="114480"/>
                            <a:ext cx="571680" cy="343080"/>
                          </a:xfrm>
                          <a:prstGeom prst="rect">
                            <a:avLst/>
                          </a:prstGeom>
                          <a:solidFill>
                            <a:srgbClr val="ffffff"/>
                          </a:solidFill>
                          <a:ln w="0">
                            <a:solidFill>
                              <a:srgbClr val="000000"/>
                            </a:solidFill>
                          </a:ln>
                        </wps:spPr>
                        <wps:style>
                          <a:lnRef idx="0"/>
                          <a:fillRef idx="0"/>
                          <a:effectRef idx="0"/>
                          <a:fontRef idx="minor"/>
                        </wps:style>
                        <wps:txbx>
                          <w:txbxContent>
                            <w:p>
                              <w:pPr>
                                <w:overflowPunct w:val="false"/>
                                <w:spacing w:before="0" w:after="0" w:lineRule="auto" w:line="240"/>
                                <w:jc w:val="left"/>
                                <w:rPr/>
                              </w:pPr>
                              <w:r>
                                <w:rPr>
                                  <w:b/>
                                  <w:sz w:val="32"/>
                                  <w:rFonts w:ascii="Calibri" w:hAnsi="Calibri" w:asciiTheme="minorHAnsi" w:cstheme="minorBidi" w:hAnsiTheme="minorHAnsi"/>
                                </w:rPr>
                                <w:t>ΔHH</w:t>
                              </w:r>
                            </w:p>
                          </w:txbxContent>
                        </wps:txbx>
                        <wps:bodyPr>
                          <a:noAutofit/>
                        </wps:bodyPr>
                      </wps:wsp>
                      <wpg:grpSp>
                        <wpg:cNvGrpSpPr/>
                        <wpg:grpSpPr>
                          <a:xfrm>
                            <a:off x="343080" y="228600"/>
                            <a:ext cx="5715720" cy="2857680"/>
                          </a:xfrm>
                        </wpg:grpSpPr>
                        <wps:wsp>
                          <wps:cNvSpPr/>
                          <wps:spPr>
                            <a:xfrm>
                              <a:off x="0" y="0"/>
                              <a:ext cx="0" cy="2857680"/>
                            </a:xfrm>
                            <a:prstGeom prst="line">
                              <a:avLst/>
                            </a:prstGeom>
                            <a:ln w="38160">
                              <a:solidFill>
                                <a:srgbClr val="000000"/>
                              </a:solidFill>
                              <a:round/>
                              <a:tailEnd len="med" type="triangle" w="med"/>
                            </a:ln>
                          </wps:spPr>
                          <wps:style>
                            <a:lnRef idx="0"/>
                            <a:fillRef idx="0"/>
                            <a:effectRef idx="0"/>
                            <a:fontRef idx="minor"/>
                          </wps:style>
                          <wps:bodyPr/>
                        </wps:wsp>
                        <wps:wsp>
                          <wps:cNvSpPr/>
                          <wps:spPr>
                            <a:xfrm>
                              <a:off x="0" y="1371600"/>
                              <a:ext cx="2286720" cy="0"/>
                            </a:xfrm>
                            <a:prstGeom prst="line">
                              <a:avLst/>
                            </a:prstGeom>
                            <a:ln w="38160">
                              <a:solidFill>
                                <a:srgbClr val="000000"/>
                              </a:solidFill>
                              <a:round/>
                              <a:tailEnd len="med" type="triangle" w="med"/>
                            </a:ln>
                          </wps:spPr>
                          <wps:style>
                            <a:lnRef idx="0"/>
                            <a:fillRef idx="0"/>
                            <a:effectRef idx="0"/>
                            <a:fontRef idx="minor"/>
                          </wps:style>
                          <wps:bodyPr/>
                        </wps:wsp>
                        <wps:wsp>
                          <wps:cNvSpPr/>
                          <wps:spPr>
                            <a:xfrm>
                              <a:off x="2726280" y="24805800"/>
                              <a:ext cx="1600920" cy="1085760"/>
                            </a:xfrm>
                            <a:custGeom>
                              <a:avLst/>
                              <a:gdLst/>
                              <a:ahLst/>
                              <a:rect l="0" t="0" r="r" b="b"/>
                              <a:pathLst>
                                <a:path w="4447" h="3016">
                                  <a:moveTo>
                                    <a:pt x="0" y="2592"/>
                                  </a:moveTo>
                                  <a:cubicBezTo>
                                    <a:pt x="185" y="2618"/>
                                    <a:pt x="371" y="2645"/>
                                    <a:pt x="635" y="2274"/>
                                  </a:cubicBezTo>
                                  <a:cubicBezTo>
                                    <a:pt x="900" y="1904"/>
                                    <a:pt x="1270" y="688"/>
                                    <a:pt x="1588" y="370"/>
                                  </a:cubicBezTo>
                                  <a:cubicBezTo>
                                    <a:pt x="1905" y="53"/>
                                    <a:pt x="2223" y="0"/>
                                    <a:pt x="2541" y="370"/>
                                  </a:cubicBezTo>
                                  <a:cubicBezTo>
                                    <a:pt x="2858" y="741"/>
                                    <a:pt x="3176" y="2169"/>
                                    <a:pt x="3493" y="2592"/>
                                  </a:cubicBezTo>
                                  <a:cubicBezTo>
                                    <a:pt x="3811" y="3015"/>
                                    <a:pt x="4287" y="2803"/>
                                    <a:pt x="4446" y="2909"/>
                                  </a:cubicBezTo>
                                </a:path>
                              </a:pathLst>
                            </a:custGeom>
                            <a:ln w="28440">
                              <a:solidFill>
                                <a:srgbClr val="000000"/>
                              </a:solidFill>
                              <a:round/>
                            </a:ln>
                          </wps:spPr>
                          <wps:bodyPr/>
                        </wps:wsp>
                        <wps:wsp>
                          <wps:cNvSpPr/>
                          <wps:spPr>
                            <a:xfrm>
                              <a:off x="1485720" y="1257480"/>
                              <a:ext cx="1800" cy="228600"/>
                            </a:xfrm>
                            <a:prstGeom prst="line">
                              <a:avLst/>
                            </a:prstGeom>
                            <a:ln w="28440">
                              <a:solidFill>
                                <a:srgbClr val="000000"/>
                              </a:solidFill>
                              <a:round/>
                            </a:ln>
                          </wps:spPr>
                          <wps:style>
                            <a:lnRef idx="0"/>
                            <a:fillRef idx="0"/>
                            <a:effectRef idx="0"/>
                            <a:fontRef idx="minor"/>
                          </wps:style>
                          <wps:bodyPr/>
                        </wps:wsp>
                        <wps:wsp>
                          <wps:cNvSpPr/>
                          <wps:spPr>
                            <a:xfrm>
                              <a:off x="1029240" y="1257480"/>
                              <a:ext cx="720" cy="228600"/>
                            </a:xfrm>
                            <a:prstGeom prst="line">
                              <a:avLst/>
                            </a:prstGeom>
                            <a:ln w="28440">
                              <a:solidFill>
                                <a:srgbClr val="000000"/>
                              </a:solidFill>
                              <a:round/>
                            </a:ln>
                          </wps:spPr>
                          <wps:style>
                            <a:lnRef idx="0"/>
                            <a:fillRef idx="0"/>
                            <a:effectRef idx="0"/>
                            <a:fontRef idx="minor"/>
                          </wps:style>
                          <wps:bodyPr/>
                        </wps:wsp>
                        <wps:wsp>
                          <wps:cNvSpPr/>
                          <wps:spPr>
                            <a:xfrm>
                              <a:off x="2972160" y="0"/>
                              <a:ext cx="720" cy="2857680"/>
                            </a:xfrm>
                            <a:prstGeom prst="line">
                              <a:avLst/>
                            </a:prstGeom>
                            <a:ln w="38160">
                              <a:solidFill>
                                <a:srgbClr val="000000"/>
                              </a:solidFill>
                              <a:round/>
                              <a:tailEnd len="med" type="triangle" w="med"/>
                            </a:ln>
                          </wps:spPr>
                          <wps:style>
                            <a:lnRef idx="0"/>
                            <a:fillRef idx="0"/>
                            <a:effectRef idx="0"/>
                            <a:fontRef idx="minor"/>
                          </wps:style>
                          <wps:bodyPr/>
                        </wps:wsp>
                        <wps:wsp>
                          <wps:cNvSpPr/>
                          <wps:spPr>
                            <a:xfrm>
                              <a:off x="2972160" y="1486080"/>
                              <a:ext cx="2743200" cy="0"/>
                            </a:xfrm>
                            <a:prstGeom prst="line">
                              <a:avLst/>
                            </a:prstGeom>
                            <a:ln w="38160">
                              <a:solidFill>
                                <a:srgbClr val="000000"/>
                              </a:solidFill>
                              <a:round/>
                              <a:tailEnd len="med" type="triangle" w="med"/>
                            </a:ln>
                          </wps:spPr>
                          <wps:style>
                            <a:lnRef idx="0"/>
                            <a:fillRef idx="0"/>
                            <a:effectRef idx="0"/>
                            <a:fontRef idx="minor"/>
                          </wps:style>
                          <wps:bodyPr/>
                        </wps:wsp>
                        <wps:wsp>
                          <wps:cNvSpPr/>
                          <wps:spPr>
                            <a:xfrm>
                              <a:off x="4343760" y="114480"/>
                              <a:ext cx="0" cy="2743200"/>
                            </a:xfrm>
                            <a:prstGeom prst="line">
                              <a:avLst/>
                            </a:prstGeom>
                            <a:ln w="28440">
                              <a:solidFill>
                                <a:srgbClr val="000000"/>
                              </a:solidFill>
                              <a:round/>
                            </a:ln>
                          </wps:spPr>
                          <wps:style>
                            <a:lnRef idx="0"/>
                            <a:fillRef idx="0"/>
                            <a:effectRef idx="0"/>
                            <a:fontRef idx="minor"/>
                          </wps:style>
                          <wps:bodyPr/>
                        </wps:wsp>
                        <wps:wsp>
                          <wps:cNvSpPr/>
                          <wps:spPr>
                            <a:xfrm>
                              <a:off x="5698080" y="24520680"/>
                              <a:ext cx="2057760" cy="2571840"/>
                            </a:xfrm>
                            <a:custGeom>
                              <a:avLst/>
                              <a:gdLst/>
                              <a:ahLst/>
                              <a:rect l="0" t="0" r="r" b="b"/>
                              <a:pathLst>
                                <a:path w="5716" h="7144">
                                  <a:moveTo>
                                    <a:pt x="0" y="3651"/>
                                  </a:moveTo>
                                  <a:cubicBezTo>
                                    <a:pt x="476" y="3730"/>
                                    <a:pt x="953" y="3810"/>
                                    <a:pt x="1270" y="3333"/>
                                  </a:cubicBezTo>
                                  <a:cubicBezTo>
                                    <a:pt x="1588" y="2857"/>
                                    <a:pt x="1746" y="1323"/>
                                    <a:pt x="1905" y="794"/>
                                  </a:cubicBezTo>
                                  <a:cubicBezTo>
                                    <a:pt x="2064" y="265"/>
                                    <a:pt x="2117" y="265"/>
                                    <a:pt x="2223" y="159"/>
                                  </a:cubicBezTo>
                                  <a:cubicBezTo>
                                    <a:pt x="2328" y="53"/>
                                    <a:pt x="2487" y="0"/>
                                    <a:pt x="2540" y="159"/>
                                  </a:cubicBezTo>
                                  <a:cubicBezTo>
                                    <a:pt x="2593" y="317"/>
                                    <a:pt x="2540" y="106"/>
                                    <a:pt x="2540" y="1111"/>
                                  </a:cubicBezTo>
                                  <a:cubicBezTo>
                                    <a:pt x="2540" y="2116"/>
                                    <a:pt x="2487" y="5238"/>
                                    <a:pt x="2540" y="6191"/>
                                  </a:cubicBezTo>
                                  <a:cubicBezTo>
                                    <a:pt x="2593" y="7143"/>
                                    <a:pt x="2752" y="6773"/>
                                    <a:pt x="2858" y="6826"/>
                                  </a:cubicBezTo>
                                  <a:cubicBezTo>
                                    <a:pt x="2963" y="6878"/>
                                    <a:pt x="3069" y="6720"/>
                                    <a:pt x="3175" y="6508"/>
                                  </a:cubicBezTo>
                                  <a:cubicBezTo>
                                    <a:pt x="3281" y="6296"/>
                                    <a:pt x="3228" y="5926"/>
                                    <a:pt x="3493" y="5556"/>
                                  </a:cubicBezTo>
                                  <a:cubicBezTo>
                                    <a:pt x="3757" y="5185"/>
                                    <a:pt x="4392" y="4550"/>
                                    <a:pt x="4763" y="4286"/>
                                  </a:cubicBezTo>
                                  <a:cubicBezTo>
                                    <a:pt x="5133" y="4021"/>
                                    <a:pt x="5556" y="4021"/>
                                    <a:pt x="5715" y="3968"/>
                                  </a:cubicBezTo>
                                </a:path>
                              </a:pathLst>
                            </a:custGeom>
                            <a:ln w="19080">
                              <a:solidFill>
                                <a:srgbClr val="000000"/>
                              </a:solidFill>
                              <a:round/>
                            </a:ln>
                          </wps:spPr>
                          <wps:bodyPr/>
                        </wps:wsp>
                        <wps:wsp>
                          <wps:cNvSpPr/>
                          <wps:spPr>
                            <a:xfrm>
                              <a:off x="4001040" y="0"/>
                              <a:ext cx="343080" cy="720"/>
                            </a:xfrm>
                            <a:prstGeom prst="line">
                              <a:avLst/>
                            </a:prstGeom>
                            <a:ln w="19080">
                              <a:solidFill>
                                <a:srgbClr val="000000"/>
                              </a:solidFill>
                              <a:round/>
                              <a:headEnd len="med" type="triangle" w="med"/>
                              <a:tailEnd len="med" type="triangle" w="med"/>
                            </a:ln>
                          </wps:spPr>
                          <wps:style>
                            <a:lnRef idx="0"/>
                            <a:fillRef idx="0"/>
                            <a:effectRef idx="0"/>
                            <a:fontRef idx="minor"/>
                          </wps:style>
                          <wps:bodyPr/>
                        </wps:wsp>
                      </wpg:grpSp>
                    </wpg:wgp>
                  </a:graphicData>
                </a:graphic>
              </wp:inline>
            </w:drawing>
          </mc:Choice>
          <mc:Fallback>
            <w:pict>
              <v:group id="shape_0" alt="Платно 27" editas="canvas" style="margin-left:0pt;margin-top:-243.65pt;width:486pt;height:243.6pt" coordorigin="0,-4873" coordsize="9720,4872">
                <v:group id="shape_0" alt="Group 20" editas="canvas" style="left:540;top:-4513;width:9000;height:4500">
                  <v:line id="shape_0" from="540,-4513" to="540,-14" ID="Line 21" stroked="t" style="position:absolute;mso-position-vertical:top">
                    <v:stroke color="black" weight="38160" endarrow="block" endarrowwidth="medium" endarrowlength="medium" joinstyle="round" endcap="flat"/>
                    <v:fill o:detectmouseclick="t" on="false"/>
                    <w10:wrap type="none"/>
                  </v:line>
                  <v:line id="shape_0" from="540,-2353" to="4140,-2353" ID="Line 22" stroked="t" style="position:absolute;mso-position-vertical:top">
                    <v:stroke color="black" weight="38160" endarrow="block" endarrowwidth="medium" endarrowlength="medium" joinstyle="round" endcap="flat"/>
                    <v:fill o:detectmouseclick="t" on="false"/>
                  </v:line>
                  <v:shape id="shape_0" ID="Freeform 23" stroked="t" style="position:absolute;left:1081;top:-3909;width:2519;height:1584;mso-position-vertical:top">
                    <v:stroke color="black" weight="28440" joinstyle="round" endcap="flat"/>
                    <v:fill o:detectmouseclick="t" on="false"/>
                  </v:shape>
                  <v:line id="shape_0" from="2880,-2532" to="2882,-2173" ID="Line 24" stroked="t" style="position:absolute;mso-position-vertical:top">
                    <v:stroke color="black" weight="28440" joinstyle="round" endcap="flat"/>
                    <v:fill o:detectmouseclick="t" on="false"/>
                  </v:line>
                  <v:line id="shape_0" from="2161,-2532" to="2161,-2173" ID="Line 25" stroked="t" style="position:absolute;mso-position-vertical:top">
                    <v:stroke color="black" weight="28440" joinstyle="round" endcap="flat"/>
                    <v:fill o:detectmouseclick="t" on="false"/>
                  </v:line>
                  <v:line id="shape_0" from="5221,-4513" to="5221,-14" ID="Line 26" stroked="t" style="position:absolute;mso-position-vertical:top">
                    <v:stroke color="black" weight="38160" endarrow="block" endarrowwidth="medium" endarrowlength="medium" joinstyle="round" endcap="flat"/>
                    <v:fill o:detectmouseclick="t" on="false"/>
                  </v:line>
                  <v:line id="shape_0" from="5221,-2172" to="9540,-2172" ID="Line 27" stroked="t" style="position:absolute;mso-position-vertical:top">
                    <v:stroke color="black" weight="38160" endarrow="block" endarrowwidth="medium" endarrowlength="medium" joinstyle="round" endcap="flat"/>
                    <v:fill o:detectmouseclick="t" on="false"/>
                  </v:line>
                  <v:line id="shape_0" from="7381,-4332" to="7381,-13" ID="Line 28" stroked="t" style="position:absolute;mso-position-vertical:top">
                    <v:stroke color="black" weight="28440" joinstyle="round" endcap="flat"/>
                    <v:fill o:detectmouseclick="t" on="false"/>
                  </v:line>
                  <v:shape id="shape_0" ID="Freeform 29" stroked="t" style="position:absolute;left:5761;top:-4389;width:3239;height:3851;mso-position-vertical:top">
                    <v:stroke color="black" weight="19080" joinstyle="round" endcap="flat"/>
                    <v:fill o:detectmouseclick="t" on="false"/>
                  </v:shape>
                  <v:line id="shape_0" from="6841,-4513" to="7380,-4513" ID="Line 30" stroked="t" style="position:absolute;mso-position-vertical:top">
                    <v:stroke color="black" weight="19080" startarrow="block" endarrow="block" startarrowwidth="medium" startarrowlength="medium" endarrowwidth="medium" endarrowlength="medium" joinstyle="round" endcap="flat"/>
                    <v:fill o:detectmouseclick="t" on="false"/>
                  </v:line>
                </v:group>
              </v:group>
            </w:pict>
          </mc:Fallback>
        </mc:AlternateContent>
      </w:r>
    </w:p>
    <w:p>
      <w:pPr>
        <w:pStyle w:val="Normal"/>
        <w:numPr>
          <w:ilvl w:val="0"/>
          <w:numId w:val="1"/>
        </w:numPr>
        <w:tabs>
          <w:tab w:val="clear" w:pos="708"/>
          <w:tab w:val="left" w:pos="6555" w:leader="none"/>
        </w:tabs>
        <w:spacing w:lineRule="auto" w:line="240" w:before="0" w:after="0"/>
        <w:rPr>
          <w:sz w:val="32"/>
          <w:szCs w:val="32"/>
          <w:lang w:val="en-US"/>
        </w:rPr>
      </w:pPr>
      <w:r>
        <w:rPr>
          <w:sz w:val="32"/>
          <w:szCs w:val="32"/>
          <w:lang w:val="en-US"/>
        </w:rPr>
        <w:t>b)</w:t>
      </w:r>
    </w:p>
    <w:p>
      <w:pPr>
        <w:pStyle w:val="Normal"/>
        <w:tabs>
          <w:tab w:val="clear" w:pos="708"/>
          <w:tab w:val="left" w:pos="6555" w:leader="none"/>
        </w:tabs>
        <w:ind w:left="960" w:hanging="0"/>
        <w:rPr>
          <w:rFonts w:ascii="Times New Roman" w:hAnsi="Times New Roman" w:cs="Times New Roman"/>
          <w:sz w:val="24"/>
          <w:szCs w:val="24"/>
        </w:rPr>
      </w:pPr>
      <w:r>
        <w:rPr>
          <w:rFonts w:cs="Times New Roman" w:ascii="Times New Roman" w:hAnsi="Times New Roman"/>
          <w:sz w:val="24"/>
          <w:szCs w:val="24"/>
        </w:rPr>
        <w:t xml:space="preserve">Фигура №2 ЕПР </w:t>
      </w:r>
      <w:r>
        <w:rPr>
          <w:rFonts w:cs="Times New Roman" w:ascii="Times New Roman" w:hAnsi="Times New Roman"/>
          <w:sz w:val="24"/>
          <w:szCs w:val="24"/>
          <w:lang w:val="en-US"/>
        </w:rPr>
        <w:t xml:space="preserve">a) </w:t>
      </w:r>
      <w:r>
        <w:rPr>
          <w:rFonts w:cs="Times New Roman" w:ascii="Times New Roman" w:hAnsi="Times New Roman"/>
          <w:sz w:val="24"/>
          <w:szCs w:val="24"/>
        </w:rPr>
        <w:t>като абсолютна крива</w:t>
      </w:r>
    </w:p>
    <w:p>
      <w:pPr>
        <w:pStyle w:val="Normal"/>
        <w:tabs>
          <w:tab w:val="clear" w:pos="708"/>
          <w:tab w:val="left" w:pos="6555" w:leader="none"/>
        </w:tabs>
        <w:ind w:left="960" w:hanging="0"/>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lang w:val="en-US"/>
        </w:rPr>
        <w:t>b</w:t>
      </w:r>
      <w:r>
        <w:rPr>
          <w:rFonts w:cs="Times New Roman" w:ascii="Times New Roman" w:hAnsi="Times New Roman"/>
          <w:sz w:val="24"/>
          <w:szCs w:val="24"/>
        </w:rPr>
        <w:t>) като първа производна абсолютна крива</w:t>
      </w:r>
    </w:p>
    <w:p>
      <w:pPr>
        <w:pStyle w:val="Normal"/>
        <w:tabs>
          <w:tab w:val="clear" w:pos="708"/>
          <w:tab w:val="left" w:pos="6555" w:leader="none"/>
        </w:tabs>
        <w:jc w:val="both"/>
        <w:rPr>
          <w:rFonts w:ascii="Times New Roman" w:hAnsi="Times New Roman" w:cs="Times New Roman"/>
          <w:sz w:val="24"/>
          <w:szCs w:val="24"/>
        </w:rPr>
      </w:pPr>
      <w:r>
        <w:rPr>
          <w:rFonts w:cs="Times New Roman" w:ascii="Times New Roman" w:hAnsi="Times New Roman"/>
          <w:sz w:val="24"/>
          <w:szCs w:val="24"/>
        </w:rPr>
        <w:t xml:space="preserve">единствената симетрична линия (фигура №2 б) се характеризира с интензивност ширина форма и място в магнитното поле. Често ЕПР спектри се състоят от група или няколко групи линии. </w:t>
      </w:r>
    </w:p>
    <w:p>
      <w:pPr>
        <w:pStyle w:val="ListParagraph"/>
        <w:numPr>
          <w:ilvl w:val="0"/>
          <w:numId w:val="2"/>
        </w:numPr>
        <w:tabs>
          <w:tab w:val="clear" w:pos="708"/>
          <w:tab w:val="left" w:pos="6555" w:leader="none"/>
        </w:tabs>
        <w:jc w:val="both"/>
        <w:rPr>
          <w:rFonts w:ascii="Times New Roman" w:hAnsi="Times New Roman" w:cs="Times New Roman"/>
          <w:sz w:val="24"/>
          <w:szCs w:val="24"/>
        </w:rPr>
      </w:pPr>
      <w:r>
        <w:rPr>
          <w:rFonts w:cs="Times New Roman" w:ascii="Times New Roman" w:hAnsi="Times New Roman"/>
          <w:sz w:val="24"/>
          <w:szCs w:val="24"/>
        </w:rPr>
        <w:t xml:space="preserve">Интензивност на ЕПР линията ( </w:t>
      </w:r>
      <w:r>
        <w:rPr>
          <w:rFonts w:cs="Times New Roman" w:ascii="Times New Roman" w:hAnsi="Times New Roman"/>
          <w:sz w:val="24"/>
          <w:szCs w:val="24"/>
          <w:lang w:val="en-US"/>
        </w:rPr>
        <w:t>I</w:t>
      </w:r>
      <w:r>
        <w:rPr>
          <w:rFonts w:cs="Times New Roman" w:ascii="Times New Roman" w:hAnsi="Times New Roman"/>
          <w:sz w:val="24"/>
          <w:szCs w:val="24"/>
        </w:rPr>
        <w:t xml:space="preserve"> ) – измерва се от връх до връх през перпендикуляра спрямо оста на магнитното поле. Измерва се в относителни единици.   </w:t>
      </w:r>
    </w:p>
    <w:p>
      <w:pPr>
        <w:pStyle w:val="ListParagraph"/>
        <w:numPr>
          <w:ilvl w:val="0"/>
          <w:numId w:val="2"/>
        </w:numPr>
        <w:tabs>
          <w:tab w:val="clear" w:pos="708"/>
          <w:tab w:val="left" w:pos="6555" w:leader="none"/>
        </w:tabs>
        <w:jc w:val="both"/>
        <w:rPr>
          <w:rFonts w:ascii="Times New Roman" w:hAnsi="Times New Roman" w:cs="Times New Roman"/>
          <w:sz w:val="24"/>
          <w:szCs w:val="24"/>
        </w:rPr>
      </w:pPr>
      <w:r>
        <w:rPr>
          <w:rFonts w:cs="Times New Roman" w:ascii="Times New Roman" w:hAnsi="Times New Roman"/>
          <w:sz w:val="24"/>
          <w:szCs w:val="24"/>
        </w:rPr>
        <w:t>Основни параметри в спектрите на ЕПР.</w:t>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 xml:space="preserve">-ширина на ЕПР линия ΔН.Измерва се в гауси </w:t>
      </w:r>
      <w:r>
        <w:rPr>
          <w:rFonts w:cs="Times New Roman" w:ascii="Times New Roman" w:hAnsi="Times New Roman"/>
          <w:sz w:val="24"/>
          <w:szCs w:val="24"/>
          <w:lang w:val="en-US"/>
        </w:rPr>
        <w:t>(G)</w:t>
      </w:r>
      <w:r>
        <w:rPr>
          <w:rFonts w:cs="Times New Roman" w:ascii="Times New Roman" w:hAnsi="Times New Roman"/>
          <w:sz w:val="24"/>
          <w:szCs w:val="24"/>
        </w:rPr>
        <w:t xml:space="preserve"> и е равна на разстоянието от връх до връх по оста на магнитното поле.</w:t>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 xml:space="preserve">-интензивност на ЕПР линия </w:t>
      </w:r>
      <w:r>
        <w:rPr>
          <w:rFonts w:cs="Times New Roman" w:ascii="Times New Roman" w:hAnsi="Times New Roman"/>
          <w:sz w:val="24"/>
          <w:szCs w:val="24"/>
          <w:lang w:val="en-US"/>
        </w:rPr>
        <w:t>I</w:t>
      </w:r>
      <w:r>
        <w:rPr>
          <w:rFonts w:cs="Times New Roman" w:ascii="Times New Roman" w:hAnsi="Times New Roman"/>
          <w:sz w:val="24"/>
          <w:szCs w:val="24"/>
        </w:rPr>
        <w:t>.Измерва се относителни единици и е равна на разстоянието от връх до връх перпендикулярно спрямо оста на магнитното поле.</w:t>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-форма на ЕПР линия.Обикновено е междинна между Гаусова и коренцова крива.</w:t>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 xml:space="preserve">-приложение на линията в магнитно поле, </w:t>
      </w:r>
      <w:r>
        <w:rPr>
          <w:rFonts w:cs="Times New Roman" w:ascii="Times New Roman" w:hAnsi="Times New Roman"/>
          <w:sz w:val="24"/>
          <w:szCs w:val="24"/>
          <w:lang w:val="en-US"/>
        </w:rPr>
        <w:t>g</w:t>
      </w:r>
      <w:r>
        <w:rPr>
          <w:rFonts w:cs="Times New Roman" w:ascii="Times New Roman" w:hAnsi="Times New Roman"/>
          <w:b/>
          <w:sz w:val="28"/>
          <w:szCs w:val="28"/>
        </w:rPr>
        <w:t>-</w:t>
      </w:r>
      <w:r>
        <w:rPr>
          <w:rFonts w:cs="Times New Roman" w:ascii="Times New Roman" w:hAnsi="Times New Roman"/>
          <w:sz w:val="24"/>
          <w:szCs w:val="24"/>
        </w:rPr>
        <w:t xml:space="preserve">фактор.Мястото на ЕПР линията в магнитното поле се определя от стоността </w:t>
      </w:r>
      <w:r>
        <w:rPr>
          <w:rFonts w:cs="Times New Roman" w:ascii="Times New Roman" w:hAnsi="Times New Roman"/>
          <w:sz w:val="24"/>
          <w:szCs w:val="24"/>
          <w:lang w:val="en-US"/>
        </w:rPr>
        <w:t>g</w:t>
      </w:r>
      <w:r>
        <w:rPr>
          <w:rFonts w:cs="Times New Roman" w:ascii="Times New Roman" w:hAnsi="Times New Roman"/>
          <w:sz w:val="24"/>
          <w:szCs w:val="24"/>
        </w:rPr>
        <w:t>-фактор, която е мярка за ефективния магнитен момент на електрона.</w:t>
      </w:r>
    </w:p>
    <w:p>
      <w:pPr>
        <w:pStyle w:val="Normal"/>
        <w:spacing w:before="0" w:after="0"/>
        <w:jc w:val="both"/>
        <w:rPr>
          <w:rFonts w:ascii="Times New Roman" w:hAnsi="Times New Roman" w:cs="Times New Roman"/>
          <w:sz w:val="24"/>
          <w:szCs w:val="24"/>
          <w:lang w:val="en-US"/>
        </w:rPr>
      </w:pPr>
      <w:r>
        <w:rPr>
          <w:rFonts w:cs="Times New Roman" w:ascii="Times New Roman" w:hAnsi="Times New Roman"/>
          <w:sz w:val="24"/>
          <w:szCs w:val="24"/>
        </w:rPr>
        <w:t xml:space="preserve">                                      </w:t>
      </w:r>
      <w:r>
        <w:rPr>
          <w:rFonts w:cs="Times New Roman" w:ascii="Times New Roman" w:hAnsi="Times New Roman"/>
          <w:sz w:val="24"/>
          <w:szCs w:val="24"/>
          <w:lang w:val="en-US"/>
        </w:rPr>
        <w:t xml:space="preserve">                  </w:t>
      </w:r>
      <w:r>
        <w:rPr>
          <w:rFonts w:cs="Times New Roman" w:ascii="Times New Roman" w:hAnsi="Times New Roman"/>
          <w:sz w:val="24"/>
          <w:szCs w:val="24"/>
          <w:lang w:val="en-US"/>
        </w:rPr>
        <w:t>g = µ</w:t>
      </w:r>
      <w:r>
        <w:rPr>
          <w:rFonts w:cs="Times New Roman" w:ascii="Times New Roman" w:hAnsi="Times New Roman"/>
          <w:sz w:val="24"/>
          <w:szCs w:val="24"/>
          <w:vertAlign w:val="subscript"/>
          <w:lang w:val="en-US"/>
        </w:rPr>
        <w:t>e</w:t>
      </w:r>
      <w:r>
        <w:rPr>
          <w:rFonts w:cs="Times New Roman" w:ascii="Times New Roman" w:hAnsi="Times New Roman"/>
          <w:sz w:val="24"/>
          <w:szCs w:val="24"/>
          <w:lang w:val="en-US"/>
        </w:rPr>
        <w:t>/p</w:t>
      </w:r>
      <w:r>
        <w:rPr>
          <w:rFonts w:cs="Times New Roman" w:ascii="Times New Roman" w:hAnsi="Times New Roman"/>
          <w:sz w:val="24"/>
          <w:szCs w:val="24"/>
          <w:vertAlign w:val="subscript"/>
          <w:lang w:val="en-US"/>
        </w:rPr>
        <w:t xml:space="preserve">e </w:t>
      </w:r>
    </w:p>
    <w:p>
      <w:pPr>
        <w:pStyle w:val="Normal"/>
        <w:spacing w:before="0" w:after="0"/>
        <w:jc w:val="both"/>
        <w:rPr>
          <w:rFonts w:ascii="Times New Roman" w:hAnsi="Times New Roman" w:cs="Times New Roman"/>
          <w:sz w:val="24"/>
          <w:szCs w:val="24"/>
        </w:rPr>
      </w:pPr>
      <w:r>
        <w:rPr>
          <w:rFonts w:cs="Times New Roman" w:ascii="Times New Roman" w:hAnsi="Times New Roman"/>
          <w:b/>
          <w:sz w:val="24"/>
          <w:szCs w:val="24"/>
        </w:rPr>
        <w:t xml:space="preserve">   </w:t>
      </w:r>
      <w:r>
        <w:rPr>
          <w:rFonts w:cs="Times New Roman" w:ascii="Times New Roman" w:hAnsi="Times New Roman"/>
          <w:sz w:val="24"/>
          <w:szCs w:val="24"/>
          <w:lang w:val="en-US"/>
        </w:rPr>
        <w:t>g-</w:t>
      </w:r>
      <w:r>
        <w:rPr>
          <w:rFonts w:cs="Times New Roman" w:ascii="Times New Roman" w:hAnsi="Times New Roman"/>
          <w:sz w:val="24"/>
          <w:szCs w:val="24"/>
        </w:rPr>
        <w:t xml:space="preserve">фактор на органични свободни радикали.Поради силната делокализация на несдвоения електрон в тях и незначителното спин-орбитално взаимодействие, органичните свободни радикали имат </w:t>
      </w:r>
      <w:r>
        <w:rPr>
          <w:rFonts w:cs="Times New Roman" w:ascii="Times New Roman" w:hAnsi="Times New Roman"/>
          <w:sz w:val="24"/>
          <w:szCs w:val="24"/>
          <w:lang w:val="en-US"/>
        </w:rPr>
        <w:t>g</w:t>
      </w:r>
      <w:r>
        <w:rPr>
          <w:rFonts w:cs="Times New Roman" w:ascii="Times New Roman" w:hAnsi="Times New Roman"/>
          <w:sz w:val="24"/>
          <w:szCs w:val="24"/>
        </w:rPr>
        <w:t>-фактор, близък до 2,0023, който служи за идентифицирането им, но не дава съществената информация за електрония им строеж.</w:t>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lang w:val="en-US"/>
        </w:rPr>
        <w:t>g</w:t>
      </w:r>
      <w:r>
        <w:rPr>
          <w:rFonts w:cs="Times New Roman" w:ascii="Times New Roman" w:hAnsi="Times New Roman"/>
          <w:sz w:val="24"/>
          <w:szCs w:val="24"/>
        </w:rPr>
        <w:t xml:space="preserve">-фактор на комплекси на йони на преходни метали.За разлика от органичните свободни радикали, </w:t>
      </w:r>
      <w:r>
        <w:rPr>
          <w:rFonts w:cs="Times New Roman" w:ascii="Times New Roman" w:hAnsi="Times New Roman"/>
          <w:sz w:val="24"/>
          <w:szCs w:val="24"/>
          <w:lang w:val="en-US"/>
        </w:rPr>
        <w:t>g</w:t>
      </w:r>
      <w:r>
        <w:rPr>
          <w:rFonts w:cs="Times New Roman" w:ascii="Times New Roman" w:hAnsi="Times New Roman"/>
          <w:sz w:val="24"/>
          <w:szCs w:val="24"/>
        </w:rPr>
        <w:t xml:space="preserve">-факторите на комплексните йони на преходните метали силно зависят от преродата на централния йон, а при един и същ централен йон-от вида и подреждането на най-близките атоми от лигандите, т.е.от хромофора.Отклонението на </w:t>
      </w:r>
      <w:r>
        <w:rPr>
          <w:rFonts w:cs="Times New Roman" w:ascii="Times New Roman" w:hAnsi="Times New Roman"/>
          <w:sz w:val="24"/>
          <w:szCs w:val="24"/>
          <w:lang w:val="en-US"/>
        </w:rPr>
        <w:t>g</w:t>
      </w:r>
      <w:r>
        <w:rPr>
          <w:rFonts w:cs="Times New Roman" w:ascii="Times New Roman" w:hAnsi="Times New Roman"/>
          <w:sz w:val="24"/>
          <w:szCs w:val="24"/>
        </w:rPr>
        <w:t>-фактор от чисто спинова стойност се дължи на наличието на спин-орбитално взаимодействиепри металите и на влиянието, което оказва полето на лигандите от първата координационна сфера.</w:t>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 xml:space="preserve">-свръхнина структура.Важна информация се получава от ЕПР спектри на парамагнитни частици, в които несдвоеният електрон принадлежи на атом с ядрен момент, различен от 0 </w:t>
      </w:r>
      <w:r>
        <w:rPr>
          <w:rFonts w:cs="Times New Roman" w:ascii="Times New Roman" w:hAnsi="Times New Roman"/>
          <w:sz w:val="24"/>
          <w:szCs w:val="24"/>
          <w:lang w:val="en-US"/>
        </w:rPr>
        <w:t>(</w:t>
      </w:r>
      <w:r>
        <w:rPr>
          <w:rFonts w:cs="Times New Roman" w:ascii="Times New Roman" w:hAnsi="Times New Roman"/>
          <w:sz w:val="24"/>
          <w:szCs w:val="24"/>
          <w:vertAlign w:val="superscript"/>
          <w:lang w:val="en-US"/>
        </w:rPr>
        <w:t>51</w:t>
      </w:r>
      <w:r>
        <w:rPr>
          <w:rFonts w:cs="Times New Roman" w:ascii="Times New Roman" w:hAnsi="Times New Roman"/>
          <w:sz w:val="24"/>
          <w:szCs w:val="24"/>
          <w:lang w:val="en-US"/>
        </w:rPr>
        <w:t xml:space="preserve">V, </w:t>
      </w:r>
      <w:r>
        <w:rPr>
          <w:rFonts w:cs="Times New Roman" w:ascii="Times New Roman" w:hAnsi="Times New Roman"/>
          <w:sz w:val="24"/>
          <w:szCs w:val="24"/>
          <w:vertAlign w:val="superscript"/>
          <w:lang w:val="en-US"/>
        </w:rPr>
        <w:t>55</w:t>
      </w:r>
      <w:r>
        <w:rPr>
          <w:rFonts w:cs="Times New Roman" w:ascii="Times New Roman" w:hAnsi="Times New Roman"/>
          <w:sz w:val="24"/>
          <w:szCs w:val="24"/>
          <w:lang w:val="en-US"/>
        </w:rPr>
        <w:t xml:space="preserve">Mn, </w:t>
      </w:r>
      <w:r>
        <w:rPr>
          <w:rFonts w:cs="Times New Roman" w:ascii="Times New Roman" w:hAnsi="Times New Roman"/>
          <w:sz w:val="24"/>
          <w:szCs w:val="24"/>
          <w:vertAlign w:val="superscript"/>
          <w:lang w:val="en-US"/>
        </w:rPr>
        <w:t>63.65</w:t>
      </w:r>
      <w:r>
        <w:rPr>
          <w:rFonts w:cs="Times New Roman" w:ascii="Times New Roman" w:hAnsi="Times New Roman"/>
          <w:sz w:val="24"/>
          <w:szCs w:val="24"/>
          <w:lang w:val="en-US"/>
        </w:rPr>
        <w:t>Cu).</w:t>
      </w:r>
      <w:r>
        <w:rPr>
          <w:rFonts w:cs="Times New Roman" w:ascii="Times New Roman" w:hAnsi="Times New Roman"/>
          <w:sz w:val="24"/>
          <w:szCs w:val="24"/>
        </w:rPr>
        <w:t>Породи взаимодейсвие на електронния и ядрен магнитен момент в тезе системи възниква сфръхфина структура на ЕПР спектъра.Тя се състои в разцепване на линията на несдвоения електрон на определен брой компоненти.</w:t>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-изотропни ЕПР параметри.Поради свободното движение на парамагнитните частици в разтвор те заемат всички възможни ориентации спрямо приложеното магнитно поле .За времето на живот на дадено спиново състояние частицата многократно мени ориентацията си, което усреднява анизотропията и в разтвора се наблюдава изотропен ЕПР спектър.</w:t>
      </w:r>
    </w:p>
    <w:p>
      <w:pPr>
        <w:pStyle w:val="Normal"/>
        <w:spacing w:before="0" w:after="0"/>
        <w:jc w:val="both"/>
        <w:rPr>
          <w:rFonts w:ascii="Times New Roman" w:hAnsi="Times New Roman" w:cs="Times New Roman"/>
          <w:sz w:val="28"/>
          <w:szCs w:val="28"/>
        </w:rPr>
      </w:pPr>
      <w:r>
        <w:rPr>
          <w:rFonts w:cs="Times New Roman" w:ascii="Times New Roman" w:hAnsi="Times New Roman"/>
          <w:sz w:val="24"/>
          <w:szCs w:val="24"/>
        </w:rPr>
        <w:t xml:space="preserve">   </w:t>
      </w:r>
      <w:r>
        <w:rPr>
          <w:rFonts w:cs="Times New Roman" w:ascii="Times New Roman" w:hAnsi="Times New Roman"/>
          <w:sz w:val="28"/>
          <w:szCs w:val="28"/>
        </w:rPr>
        <w:t>ЕПР спектри на комплекси на йони на преходните метали</w:t>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За интерпретация на ЕПР спектри на комплексите на йони на преходни метали служи теорията на кристалното поле.ЕПР спектрите дават бърза информация за електроната структура на парамагнитните комплексни съединения.В някои случаи възникват усложнения, характерни за йоните на преходните метали , които са обусловени от възможно изграждане на</w:t>
      </w:r>
      <w:r>
        <w:rPr>
          <w:rFonts w:cs="Times New Roman" w:ascii="Times New Roman" w:hAnsi="Times New Roman"/>
          <w:sz w:val="24"/>
          <w:szCs w:val="24"/>
          <w:lang w:val="en-US"/>
        </w:rPr>
        <w:t xml:space="preserve"> d</w:t>
      </w:r>
      <w:r>
        <w:rPr>
          <w:rFonts w:cs="Times New Roman" w:ascii="Times New Roman" w:hAnsi="Times New Roman"/>
          <w:sz w:val="24"/>
          <w:szCs w:val="24"/>
        </w:rPr>
        <w:t>-орбиталите и от това, че много молекули съдържат повече от един несдвоен електрон.</w:t>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 xml:space="preserve">В резултат на съществуването на забележими орбитали ъглови моменти </w:t>
      </w:r>
      <w:r>
        <w:rPr>
          <w:rFonts w:cs="Times New Roman" w:ascii="Times New Roman" w:hAnsi="Times New Roman"/>
          <w:sz w:val="24"/>
          <w:szCs w:val="24"/>
          <w:lang w:val="en-US"/>
        </w:rPr>
        <w:t>g</w:t>
      </w:r>
      <w:r>
        <w:rPr>
          <w:rFonts w:cs="Times New Roman" w:ascii="Times New Roman" w:hAnsi="Times New Roman"/>
          <w:sz w:val="24"/>
          <w:szCs w:val="24"/>
        </w:rPr>
        <w:t>-факторите на комплексите на много метални йони са анизотропи.Спин-орбиталното взаимодействие също води до големи разцепвания в нулево поле за сметка на смесване на основното и възбуденото състояние.</w:t>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 xml:space="preserve">При изследване на многоелектронни системи се използва т.н. теорема на Крамерс, която сумира свойствата на тези системи.Съгласно тази теорема, при йон с нечетен брой електрони в отсъствие на магнитно поле всяко ниво трябва да остава най-малко двукратно изродено.При нечетен брой електрони квантовото число </w:t>
      </w:r>
      <w:r>
        <w:rPr>
          <w:rFonts w:cs="Times New Roman" w:ascii="Times New Roman" w:hAnsi="Times New Roman"/>
          <w:sz w:val="24"/>
          <w:szCs w:val="24"/>
          <w:lang w:val="en-US"/>
        </w:rPr>
        <w:t>m</w:t>
      </w:r>
      <w:r>
        <w:rPr>
          <w:rFonts w:cs="Times New Roman" w:ascii="Times New Roman" w:hAnsi="Times New Roman"/>
          <w:sz w:val="24"/>
          <w:szCs w:val="24"/>
          <w:vertAlign w:val="subscript"/>
          <w:lang w:val="en-US"/>
        </w:rPr>
        <w:t>j</w:t>
      </w:r>
      <w:r>
        <w:rPr>
          <w:rFonts w:cs="Times New Roman" w:ascii="Times New Roman" w:hAnsi="Times New Roman"/>
          <w:sz w:val="24"/>
          <w:szCs w:val="24"/>
          <w:lang w:val="en-US"/>
        </w:rPr>
        <w:t xml:space="preserve"> </w:t>
      </w:r>
      <w:r>
        <w:rPr>
          <w:rFonts w:cs="Times New Roman" w:ascii="Times New Roman" w:hAnsi="Times New Roman"/>
          <w:sz w:val="24"/>
          <w:szCs w:val="24"/>
        </w:rPr>
        <w:t>трябва да има стойност от ±</w:t>
      </w:r>
      <w:r>
        <w:rPr>
          <w:rFonts w:cs="Times New Roman" w:ascii="Times New Roman" w:hAnsi="Times New Roman"/>
          <w:sz w:val="24"/>
          <w:szCs w:val="24"/>
          <w:lang w:val="en-US"/>
        </w:rPr>
        <w:t xml:space="preserve"> </w:t>
      </w:r>
      <w:r>
        <w:rPr>
          <w:rFonts w:cs="Times New Roman" w:ascii="Times New Roman" w:hAnsi="Times New Roman"/>
          <w:sz w:val="24"/>
          <w:szCs w:val="24"/>
        </w:rPr>
        <w:t>1/2 до ±</w:t>
      </w:r>
      <w:r>
        <w:rPr>
          <w:rFonts w:cs="Times New Roman" w:ascii="Times New Roman" w:hAnsi="Times New Roman"/>
          <w:sz w:val="24"/>
          <w:szCs w:val="24"/>
          <w:lang w:val="en-US"/>
        </w:rPr>
        <w:t xml:space="preserve"> J</w:t>
      </w:r>
      <w:r>
        <w:rPr>
          <w:rFonts w:cs="Times New Roman" w:ascii="Times New Roman" w:hAnsi="Times New Roman"/>
          <w:sz w:val="24"/>
          <w:szCs w:val="24"/>
        </w:rPr>
        <w:t xml:space="preserve">.По такъв начин, най-ниското ниво на всеки йон с нечетен брой електрони трябва да бъде най-малко дублет, наречен дублет на Крамерс.Това израждане може да се отстрани с магнитно поле, при което възниква ЕПР спектър.В същото време , за система с четен брой електрони </w:t>
      </w:r>
      <w:r>
        <w:rPr>
          <w:rFonts w:cs="Times New Roman" w:ascii="Times New Roman" w:hAnsi="Times New Roman"/>
          <w:sz w:val="24"/>
          <w:szCs w:val="24"/>
          <w:lang w:val="en-US"/>
        </w:rPr>
        <w:t>m</w:t>
      </w:r>
      <w:r>
        <w:rPr>
          <w:rFonts w:cs="Times New Roman" w:ascii="Times New Roman" w:hAnsi="Times New Roman"/>
          <w:sz w:val="24"/>
          <w:szCs w:val="24"/>
          <w:vertAlign w:val="subscript"/>
          <w:lang w:val="en-US"/>
        </w:rPr>
        <w:t>j</w:t>
      </w:r>
      <w:r>
        <w:rPr>
          <w:rFonts w:cs="Times New Roman" w:ascii="Times New Roman" w:hAnsi="Times New Roman"/>
          <w:sz w:val="24"/>
          <w:szCs w:val="24"/>
          <w:lang w:val="en-US"/>
        </w:rPr>
        <w:t>=0, ±1,….,±J</w:t>
      </w:r>
      <w:r>
        <w:rPr>
          <w:rFonts w:cs="Times New Roman" w:ascii="Times New Roman" w:hAnsi="Times New Roman"/>
          <w:sz w:val="24"/>
          <w:szCs w:val="24"/>
        </w:rPr>
        <w:t xml:space="preserve">, изграждането може напълно да се снеме от кристално поле с ниска симетрия </w:t>
      </w:r>
      <w:r>
        <w:rPr>
          <w:rFonts w:cs="Times New Roman" w:ascii="Times New Roman" w:hAnsi="Times New Roman"/>
          <w:sz w:val="24"/>
          <w:szCs w:val="24"/>
          <w:lang w:val="en-US"/>
        </w:rPr>
        <w:t>;</w:t>
      </w:r>
      <w:r>
        <w:rPr>
          <w:rFonts w:cs="Times New Roman" w:ascii="Times New Roman" w:hAnsi="Times New Roman"/>
          <w:sz w:val="24"/>
          <w:szCs w:val="24"/>
        </w:rPr>
        <w:t xml:space="preserve"> в този случай остават само сиглентни нива, които могат да се различават по енергия толкова много, че в микровълновия диапазон не се наблюдава ЕПР спектър.</w:t>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При изследване на комплексите на йоните на преходните метали трябва да се направят и някои допълнителни забележки за методиката на експеримента.Върху ширината на линиите в ЕПР спектъра влияят редица фактори, освен тези,  които са свързани непосредствено с прибора.Както и при ЯМР, важно значение имат спин-решетъчните, спин-спиновите и обменните взаимодействия.</w:t>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 xml:space="preserve">Уширението, обусловено от спин решетъчната релаксация, възниква в резултат на взаимодействието на парамагнитните йони с топлинните трептения на решетката, гранеците , в които се мени времето на спин-решетъчна релаксация за различните системи са големи.Времето на живот при отделните съединения е толкова голямо, че позволява да се наблюдава спектъра при стайна температура.Тъй като времето на релаксация обикновено расте с понижаване на температурата, за получаване на добре разрешен спектър на много съединения на преходните метали е необходимо охлаждане до температурата на течен азот или хелий. </w:t>
      </w:r>
    </w:p>
    <w:p>
      <w:pPr>
        <w:pStyle w:val="Normal"/>
        <w:spacing w:before="0" w:after="0"/>
        <w:jc w:val="both"/>
        <w:rPr>
          <w:rFonts w:ascii="Times New Roman" w:hAnsi="Times New Roman" w:cs="Times New Roman"/>
          <w:sz w:val="24"/>
          <w:szCs w:val="24"/>
          <w:lang w:val="en-US"/>
        </w:rPr>
      </w:pPr>
      <w:r>
        <w:rPr>
          <w:rFonts w:cs="Times New Roman" w:ascii="Times New Roman" w:hAnsi="Times New Roman"/>
          <w:sz w:val="24"/>
          <w:szCs w:val="24"/>
        </w:rPr>
        <w:t>Спин-спиновото взаимодействие възниква поради наслагване на магнитни полета от околните парамагнитни йони.В резултат полето около всеки йон се променя  енергетичните нива се отмесват.Възниква такова разпределение на енергиите, което довежда до уширяване на сигнала.Тъй като този ефект се изменя като функция от веда</w:t>
      </w:r>
      <w:r>
        <w:rPr>
          <w:rFonts w:cs="Times New Roman" w:ascii="Times New Roman" w:hAnsi="Times New Roman"/>
          <w:sz w:val="24"/>
          <w:szCs w:val="24"/>
          <w:lang w:val="en-US"/>
        </w:rPr>
        <w:t>:</w:t>
      </w:r>
    </w:p>
    <w:p>
      <w:pPr>
        <w:pStyle w:val="Normal"/>
        <w:spacing w:before="0" w:after="0"/>
        <w:jc w:val="both"/>
        <w:rPr>
          <w:rFonts w:ascii="Times New Roman" w:hAnsi="Times New Roman" w:cs="Times New Roman"/>
          <w:sz w:val="24"/>
          <w:szCs w:val="24"/>
          <w:lang w:val="en-US"/>
        </w:rPr>
      </w:pPr>
      <w:r>
        <w:rPr>
          <w:rFonts w:cs="Times New Roman" w:ascii="Times New Roman" w:hAnsi="Times New Roman"/>
          <w:sz w:val="24"/>
          <w:szCs w:val="24"/>
          <w:lang w:val="en-US"/>
        </w:rPr>
        <w:t xml:space="preserve">                                </w:t>
      </w:r>
      <w:r>
        <w:rPr>
          <w:rFonts w:cs="Times New Roman" w:ascii="Times New Roman" w:hAnsi="Times New Roman"/>
          <w:sz w:val="24"/>
          <w:szCs w:val="24"/>
          <w:lang w:val="en-US"/>
        </w:rPr>
        <w:t>1/r</w:t>
      </w:r>
      <w:r>
        <w:rPr>
          <w:rFonts w:cs="Times New Roman" w:ascii="Times New Roman" w:hAnsi="Times New Roman"/>
          <w:sz w:val="24"/>
          <w:szCs w:val="24"/>
          <w:vertAlign w:val="superscript"/>
          <w:lang w:val="en-US"/>
        </w:rPr>
        <w:t>3</w:t>
      </w:r>
      <w:r>
        <w:rPr>
          <w:rFonts w:cs="Times New Roman" w:ascii="Times New Roman" w:hAnsi="Times New Roman"/>
          <w:sz w:val="24"/>
          <w:szCs w:val="24"/>
          <w:lang w:val="en-US"/>
        </w:rPr>
        <w:t>(1-3cos</w:t>
      </w:r>
      <w:r>
        <w:rPr>
          <w:rFonts w:cs="Times New Roman" w:ascii="Times New Roman" w:hAnsi="Times New Roman"/>
          <w:sz w:val="24"/>
          <w:szCs w:val="24"/>
          <w:vertAlign w:val="superscript"/>
          <w:lang w:val="en-US"/>
        </w:rPr>
        <w:t>2</w:t>
      </w:r>
      <w:r>
        <w:rPr>
          <w:rFonts w:cs="Times New Roman" w:ascii="Times New Roman" w:hAnsi="Times New Roman"/>
          <w:sz w:val="24"/>
          <w:szCs w:val="24"/>
          <w:lang w:val="en-US"/>
        </w:rPr>
        <w:t>Q)</w:t>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 xml:space="preserve">където </w:t>
      </w:r>
      <w:r>
        <w:rPr>
          <w:rFonts w:cs="Times New Roman" w:ascii="Times New Roman" w:hAnsi="Times New Roman"/>
          <w:sz w:val="24"/>
          <w:szCs w:val="24"/>
          <w:lang w:val="en-US"/>
        </w:rPr>
        <w:t>r</w:t>
      </w:r>
      <w:r>
        <w:rPr>
          <w:rFonts w:cs="Times New Roman" w:ascii="Times New Roman" w:hAnsi="Times New Roman"/>
          <w:sz w:val="24"/>
          <w:szCs w:val="24"/>
        </w:rPr>
        <w:t xml:space="preserve"> е разстоянието между йоните, а </w:t>
      </w:r>
      <w:r>
        <w:rPr>
          <w:rFonts w:cs="Times New Roman" w:ascii="Times New Roman" w:hAnsi="Times New Roman"/>
          <w:sz w:val="24"/>
          <w:szCs w:val="24"/>
          <w:lang w:val="en-US"/>
        </w:rPr>
        <w:t>Q</w:t>
      </w:r>
      <w:r>
        <w:rPr>
          <w:rFonts w:cs="Times New Roman" w:ascii="Times New Roman" w:hAnsi="Times New Roman"/>
          <w:sz w:val="24"/>
          <w:szCs w:val="24"/>
        </w:rPr>
        <w:t>-ъгълът между направлението на полето и оста на симетрия, обусловеното от него уширение зависи забележимо от направлението на полето.Величината на спин-спиново взаимодействие намалява с увеличаване на разстоянието  между парамагнитните йони, затова често системите на йоните на преходните метали е удобно да се изучават при внасяне в тях на изоморфно диамагнитно вещество.Например, комплекс на мед може да се изучава или като прах или като монокристал, разреждайки го с аналогичен цинков комплекс или като замразен разтвор.Разреждането на твърдото вещество изолира електронният спин на дадения комплекс от електроните спинове на другите парамагнитни молекули и времето на живот на спиновото състояние се увеличава.Замразените разтвори трябва да образуват добпи стъкла.В противен случай се образуват парамагнитни агрегати, които дават спектър с уширени линии.</w:t>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Разреждането намалява ефекта на химичните обемни процеси, които също уширяват сигнала.Анизотропия на параметрите на ЕПР може да се наблюдава в микрокристали, а така също при изследване на прахове и стъкла.</w:t>
      </w:r>
    </w:p>
    <w:p>
      <w:pPr>
        <w:pStyle w:val="Normal"/>
        <w:spacing w:before="0" w:after="0"/>
        <w:jc w:val="both"/>
        <w:rPr>
          <w:rFonts w:ascii="Times New Roman" w:hAnsi="Times New Roman" w:cs="Times New Roman"/>
          <w:sz w:val="24"/>
          <w:szCs w:val="24"/>
        </w:rPr>
      </w:pPr>
      <w:r>
        <w:rPr/>
      </w:r>
    </w:p>
    <w:sectPr>
      <w:type w:val="nextPage"/>
      <w:pgSz w:w="11906" w:h="16838"/>
      <w:pgMar w:left="1417" w:right="1417" w:header="0" w:top="1417" w:footer="0" w:bottom="1417"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ahoma">
    <w:charset w:val="01"/>
    <w:family w:val="roman"/>
    <w:pitch w:val="variable"/>
  </w:font>
  <w:font w:name="Liberation Sans">
    <w:altName w:val="Arial"/>
    <w:charset w:val="01"/>
    <w:family w:val="swiss"/>
    <w:pitch w:val="variable"/>
  </w:font>
  <w:font w:name="Times New Roman">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5760"/>
        </w:tabs>
        <w:ind w:left="5760" w:hanging="4800"/>
      </w:pPr>
    </w:lvl>
    <w:lvl w:ilvl="1">
      <w:start w:val="1"/>
      <w:numFmt w:val="lowerLetter"/>
      <w:lvlText w:val="%2."/>
      <w:lvlJc w:val="left"/>
      <w:pPr>
        <w:tabs>
          <w:tab w:val="num" w:pos="2040"/>
        </w:tabs>
        <w:ind w:left="2040" w:hanging="360"/>
      </w:pPr>
    </w:lvl>
    <w:lvl w:ilvl="2">
      <w:start w:val="1"/>
      <w:numFmt w:val="lowerRoman"/>
      <w:lvlText w:val="%3."/>
      <w:lvlJc w:val="right"/>
      <w:pPr>
        <w:tabs>
          <w:tab w:val="num" w:pos="2760"/>
        </w:tabs>
        <w:ind w:left="2760" w:hanging="180"/>
      </w:pPr>
    </w:lvl>
    <w:lvl w:ilvl="3">
      <w:start w:val="1"/>
      <w:numFmt w:val="decimal"/>
      <w:lvlText w:val="%4."/>
      <w:lvlJc w:val="left"/>
      <w:pPr>
        <w:tabs>
          <w:tab w:val="num" w:pos="3480"/>
        </w:tabs>
        <w:ind w:left="3480" w:hanging="360"/>
      </w:pPr>
    </w:lvl>
    <w:lvl w:ilvl="4">
      <w:start w:val="1"/>
      <w:numFmt w:val="lowerLetter"/>
      <w:lvlText w:val="%5."/>
      <w:lvlJc w:val="left"/>
      <w:pPr>
        <w:tabs>
          <w:tab w:val="num" w:pos="4200"/>
        </w:tabs>
        <w:ind w:left="4200" w:hanging="360"/>
      </w:pPr>
    </w:lvl>
    <w:lvl w:ilvl="5">
      <w:start w:val="1"/>
      <w:numFmt w:val="lowerRoman"/>
      <w:lvlText w:val="%6."/>
      <w:lvlJc w:val="right"/>
      <w:pPr>
        <w:tabs>
          <w:tab w:val="num" w:pos="4920"/>
        </w:tabs>
        <w:ind w:left="4920" w:hanging="180"/>
      </w:pPr>
    </w:lvl>
    <w:lvl w:ilvl="6">
      <w:start w:val="1"/>
      <w:numFmt w:val="decimal"/>
      <w:lvlText w:val="%7."/>
      <w:lvlJc w:val="left"/>
      <w:pPr>
        <w:tabs>
          <w:tab w:val="num" w:pos="5640"/>
        </w:tabs>
        <w:ind w:left="5640" w:hanging="360"/>
      </w:pPr>
    </w:lvl>
    <w:lvl w:ilvl="7">
      <w:start w:val="1"/>
      <w:numFmt w:val="lowerLetter"/>
      <w:lvlText w:val="%8."/>
      <w:lvlJc w:val="left"/>
      <w:pPr>
        <w:tabs>
          <w:tab w:val="num" w:pos="6360"/>
        </w:tabs>
        <w:ind w:left="6360" w:hanging="360"/>
      </w:pPr>
    </w:lvl>
    <w:lvl w:ilvl="8">
      <w:start w:val="1"/>
      <w:numFmt w:val="lowerRoman"/>
      <w:lvlText w:val="%9."/>
      <w:lvlJc w:val="right"/>
      <w:pPr>
        <w:tabs>
          <w:tab w:val="num" w:pos="7080"/>
        </w:tabs>
        <w:ind w:left="7080" w:hanging="180"/>
      </w:pPr>
    </w:lvl>
  </w:abstractNum>
  <w:abstractNum w:abstractNumId="2">
    <w:lvl w:ilvl="0">
      <w:start w:val="1"/>
      <w:numFmt w:val="decimal"/>
      <w:lvlText w:val="%1."/>
      <w:lvlJc w:val="left"/>
      <w:pPr>
        <w:tabs>
          <w:tab w:val="num" w:pos="0"/>
        </w:tabs>
        <w:ind w:left="660" w:hanging="360"/>
      </w:pPr>
    </w:lvl>
    <w:lvl w:ilvl="1">
      <w:start w:val="1"/>
      <w:numFmt w:val="lowerLetter"/>
      <w:lvlText w:val="%2."/>
      <w:lvlJc w:val="left"/>
      <w:pPr>
        <w:tabs>
          <w:tab w:val="num" w:pos="0"/>
        </w:tabs>
        <w:ind w:left="1380" w:hanging="360"/>
      </w:pPr>
    </w:lvl>
    <w:lvl w:ilvl="2">
      <w:start w:val="1"/>
      <w:numFmt w:val="lowerRoman"/>
      <w:lvlText w:val="%3."/>
      <w:lvlJc w:val="right"/>
      <w:pPr>
        <w:tabs>
          <w:tab w:val="num" w:pos="0"/>
        </w:tabs>
        <w:ind w:left="2100" w:hanging="180"/>
      </w:pPr>
    </w:lvl>
    <w:lvl w:ilvl="3">
      <w:start w:val="1"/>
      <w:numFmt w:val="decimal"/>
      <w:lvlText w:val="%4."/>
      <w:lvlJc w:val="left"/>
      <w:pPr>
        <w:tabs>
          <w:tab w:val="num" w:pos="0"/>
        </w:tabs>
        <w:ind w:left="2820" w:hanging="360"/>
      </w:pPr>
    </w:lvl>
    <w:lvl w:ilvl="4">
      <w:start w:val="1"/>
      <w:numFmt w:val="lowerLetter"/>
      <w:lvlText w:val="%5."/>
      <w:lvlJc w:val="left"/>
      <w:pPr>
        <w:tabs>
          <w:tab w:val="num" w:pos="0"/>
        </w:tabs>
        <w:ind w:left="3540" w:hanging="360"/>
      </w:pPr>
    </w:lvl>
    <w:lvl w:ilvl="5">
      <w:start w:val="1"/>
      <w:numFmt w:val="lowerRoman"/>
      <w:lvlText w:val="%6."/>
      <w:lvlJc w:val="right"/>
      <w:pPr>
        <w:tabs>
          <w:tab w:val="num" w:pos="0"/>
        </w:tabs>
        <w:ind w:left="4260" w:hanging="180"/>
      </w:pPr>
    </w:lvl>
    <w:lvl w:ilvl="6">
      <w:start w:val="1"/>
      <w:numFmt w:val="decimal"/>
      <w:lvlText w:val="%7."/>
      <w:lvlJc w:val="left"/>
      <w:pPr>
        <w:tabs>
          <w:tab w:val="num" w:pos="0"/>
        </w:tabs>
        <w:ind w:left="4980" w:hanging="360"/>
      </w:pPr>
    </w:lvl>
    <w:lvl w:ilvl="7">
      <w:start w:val="1"/>
      <w:numFmt w:val="lowerLetter"/>
      <w:lvlText w:val="%8."/>
      <w:lvlJc w:val="left"/>
      <w:pPr>
        <w:tabs>
          <w:tab w:val="num" w:pos="0"/>
        </w:tabs>
        <w:ind w:left="5700" w:hanging="360"/>
      </w:pPr>
    </w:lvl>
    <w:lvl w:ilvl="8">
      <w:start w:val="1"/>
      <w:numFmt w:val="lowerRoman"/>
      <w:lvlText w:val="%9."/>
      <w:lvlJc w:val="right"/>
      <w:pPr>
        <w:tabs>
          <w:tab w:val="num" w:pos="0"/>
        </w:tabs>
        <w:ind w:left="6420" w:hanging="180"/>
      </w:p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2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hyphenationZone w:val="425"/>
  <w:themeFontLang w:val="bg-BG"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bg-BG"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e73ea9"/>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bg-BG" w:eastAsia="en-US" w:bidi="ar-SA"/>
    </w:rPr>
  </w:style>
  <w:style w:type="character" w:styleId="DefaultParagraphFont" w:default="1">
    <w:name w:val="Default Paragraph Font"/>
    <w:uiPriority w:val="1"/>
    <w:semiHidden/>
    <w:unhideWhenUsed/>
    <w:qFormat/>
    <w:rPr/>
  </w:style>
  <w:style w:type="character" w:styleId="Style14" w:customStyle="1">
    <w:name w:val="Изнесен текст Знак"/>
    <w:basedOn w:val="DefaultParagraphFont"/>
    <w:link w:val="a3"/>
    <w:uiPriority w:val="99"/>
    <w:semiHidden/>
    <w:qFormat/>
    <w:rsid w:val="001a58e3"/>
    <w:rPr>
      <w:rFonts w:ascii="Tahoma" w:hAnsi="Tahoma" w:cs="Tahoma"/>
      <w:sz w:val="16"/>
      <w:szCs w:val="16"/>
    </w:rPr>
  </w:style>
  <w:style w:type="paragraph" w:styleId="Heading">
    <w:name w:val="Heading"/>
    <w:basedOn w:val="Normal"/>
    <w:next w:val="TextBody"/>
    <w:qFormat/>
    <w:pPr>
      <w:keepNext w:val="true"/>
      <w:spacing w:before="240" w:after="120"/>
    </w:pPr>
    <w:rPr>
      <w:rFonts w:ascii="Liberation Sans" w:hAnsi="Liberation Sans" w:eastAsia="Droid Sans Fallback" w:cs="Droid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paragraph" w:styleId="BalloonText">
    <w:name w:val="Balloon Text"/>
    <w:basedOn w:val="Normal"/>
    <w:link w:val="a4"/>
    <w:uiPriority w:val="99"/>
    <w:semiHidden/>
    <w:unhideWhenUsed/>
    <w:qFormat/>
    <w:rsid w:val="001a58e3"/>
    <w:pPr>
      <w:spacing w:lineRule="auto" w:line="240" w:before="0" w:after="0"/>
    </w:pPr>
    <w:rPr>
      <w:rFonts w:ascii="Tahoma" w:hAnsi="Tahoma" w:cs="Tahoma"/>
      <w:sz w:val="16"/>
      <w:szCs w:val="16"/>
    </w:rPr>
  </w:style>
  <w:style w:type="paragraph" w:styleId="ListParagraph">
    <w:name w:val="List Paragraph"/>
    <w:basedOn w:val="Normal"/>
    <w:uiPriority w:val="34"/>
    <w:qFormat/>
    <w:rsid w:val="000d2046"/>
    <w:pPr>
      <w:spacing w:before="0" w:after="200"/>
      <w:ind w:left="720" w:hanging="0"/>
      <w:contextualSpacing/>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528</TotalTime>
  <Application>LibreOffice/7.0.3.1$Linux_X86_64 LibreOffice_project/00$Build-1</Application>
  <Pages>5</Pages>
  <Words>1462</Words>
  <Characters>8887</Characters>
  <CharactersWithSpaces>11420</CharactersWithSpaces>
  <Paragraphs>49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2012-11-10T12:39:00Z</dcterms:created>
  <dc:creator>А</dc:creator>
  <dc:description/>
  <dc:language>en-US</dc:language>
  <cp:lastModifiedBy>А</cp:lastModifiedBy>
  <dcterms:modified xsi:type="dcterms:W3CDTF">2012-12-18T10:55:00Z</dcterms:modified>
  <cp:revision>15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